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D01547" w:rsidRDefault="00AE19AE" w:rsidP="00826792">
      <w:pPr>
        <w:rPr>
          <w:rFonts w:asciiTheme="minorHAnsi" w:hAnsiTheme="minorHAnsi"/>
          <w:sz w:val="22"/>
          <w:szCs w:val="22"/>
        </w:rPr>
      </w:pPr>
      <w:r w:rsidRPr="00AE19AE">
        <w:rPr>
          <w:rFonts w:asciiTheme="minorHAnsi" w:hAnsiTheme="minorHAnsi" w:cs="Arial"/>
          <w:b/>
          <w:sz w:val="22"/>
          <w:szCs w:val="22"/>
        </w:rPr>
        <w:t xml:space="preserve">GUIDANCE: </w:t>
      </w:r>
      <w:r w:rsidR="00300F5D">
        <w:rPr>
          <w:rFonts w:asciiTheme="minorHAnsi" w:hAnsiTheme="minorHAnsi" w:cs="Arial"/>
          <w:b/>
          <w:sz w:val="22"/>
          <w:szCs w:val="22"/>
        </w:rPr>
        <w:t>&lt;Title&gt;</w:t>
      </w:r>
    </w:p>
    <w:p w:rsidR="00826792" w:rsidRPr="00D01547" w:rsidRDefault="00826792" w:rsidP="00826792">
      <w:pPr>
        <w:rPr>
          <w:rFonts w:asciiTheme="minorHAnsi" w:hAnsiTheme="minorHAnsi"/>
          <w:sz w:val="22"/>
          <w:szCs w:val="22"/>
        </w:rPr>
      </w:pPr>
    </w:p>
    <w:p w:rsidR="00E15E84" w:rsidRDefault="00D01547" w:rsidP="006D299A">
      <w:pPr>
        <w:jc w:val="both"/>
        <w:rPr>
          <w:rFonts w:asciiTheme="minorHAnsi" w:hAnsiTheme="minorHAnsi"/>
          <w:sz w:val="22"/>
          <w:szCs w:val="22"/>
        </w:rPr>
      </w:pPr>
      <w:r>
        <w:rPr>
          <w:rFonts w:asciiTheme="minorHAnsi" w:hAnsiTheme="minorHAnsi"/>
          <w:b/>
          <w:sz w:val="22"/>
          <w:szCs w:val="22"/>
        </w:rPr>
        <w:t xml:space="preserve">Policy: </w:t>
      </w:r>
      <w:r w:rsidR="00300F5D">
        <w:rPr>
          <w:rFonts w:asciiTheme="minorHAnsi" w:hAnsiTheme="minorHAnsi"/>
          <w:sz w:val="22"/>
          <w:szCs w:val="22"/>
        </w:rPr>
        <w:t xml:space="preserve"> </w:t>
      </w:r>
      <w:r w:rsidR="006D299A">
        <w:rPr>
          <w:rFonts w:asciiTheme="minorHAnsi" w:hAnsiTheme="minorHAnsi"/>
          <w:sz w:val="22"/>
          <w:szCs w:val="22"/>
        </w:rPr>
        <w:t xml:space="preserve">Investigators must maintain ensure that </w:t>
      </w:r>
      <w:r w:rsidR="006D299A" w:rsidRPr="006D299A">
        <w:rPr>
          <w:rFonts w:asciiTheme="minorHAnsi" w:hAnsiTheme="minorHAnsi"/>
          <w:sz w:val="22"/>
          <w:szCs w:val="22"/>
        </w:rPr>
        <w:t xml:space="preserve">investigational </w:t>
      </w:r>
      <w:r w:rsidR="006D299A">
        <w:rPr>
          <w:rFonts w:asciiTheme="minorHAnsi" w:hAnsiTheme="minorHAnsi"/>
          <w:sz w:val="22"/>
          <w:szCs w:val="22"/>
        </w:rPr>
        <w:t xml:space="preserve">devices are </w:t>
      </w:r>
      <w:r w:rsidR="006D299A" w:rsidRPr="006D299A">
        <w:rPr>
          <w:rFonts w:asciiTheme="minorHAnsi" w:hAnsiTheme="minorHAnsi"/>
          <w:sz w:val="22"/>
          <w:szCs w:val="22"/>
        </w:rPr>
        <w:t>used only in approved protocols and</w:t>
      </w:r>
      <w:r w:rsidR="006D299A">
        <w:rPr>
          <w:rFonts w:asciiTheme="minorHAnsi" w:hAnsiTheme="minorHAnsi"/>
          <w:sz w:val="22"/>
          <w:szCs w:val="22"/>
        </w:rPr>
        <w:t xml:space="preserve"> </w:t>
      </w:r>
      <w:r w:rsidR="006D299A" w:rsidRPr="006D299A">
        <w:rPr>
          <w:rFonts w:asciiTheme="minorHAnsi" w:hAnsiTheme="minorHAnsi"/>
          <w:sz w:val="22"/>
          <w:szCs w:val="22"/>
        </w:rPr>
        <w:t xml:space="preserve">under the direction of </w:t>
      </w:r>
      <w:r w:rsidR="006D299A">
        <w:rPr>
          <w:rFonts w:asciiTheme="minorHAnsi" w:hAnsiTheme="minorHAnsi"/>
          <w:sz w:val="22"/>
          <w:szCs w:val="22"/>
        </w:rPr>
        <w:t xml:space="preserve">appropriate members of the research team. </w:t>
      </w:r>
    </w:p>
    <w:p w:rsidR="00D01547" w:rsidRPr="00D01547" w:rsidRDefault="00D01547" w:rsidP="00D01547">
      <w:pPr>
        <w:rPr>
          <w:rFonts w:asciiTheme="minorHAnsi" w:hAnsiTheme="minorHAnsi"/>
          <w:sz w:val="22"/>
          <w:szCs w:val="22"/>
        </w:rPr>
      </w:pPr>
    </w:p>
    <w:p w:rsid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Key Terms</w:t>
      </w:r>
    </w:p>
    <w:p w:rsid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 </w:t>
      </w:r>
    </w:p>
    <w:p w:rsid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299A">
        <w:rPr>
          <w:rFonts w:asciiTheme="minorHAnsi" w:hAnsiTheme="minorHAnsi"/>
          <w:b/>
          <w:iCs/>
          <w:sz w:val="22"/>
          <w:szCs w:val="22"/>
        </w:rPr>
        <w:t>Investigational device</w:t>
      </w:r>
      <w:r>
        <w:rPr>
          <w:rFonts w:asciiTheme="minorHAnsi" w:hAnsiTheme="minorHAnsi"/>
          <w:iCs/>
          <w:sz w:val="22"/>
          <w:szCs w:val="22"/>
        </w:rPr>
        <w:t>: A</w:t>
      </w:r>
      <w:r w:rsidRPr="006D299A">
        <w:rPr>
          <w:rFonts w:asciiTheme="minorHAnsi" w:hAnsiTheme="minorHAnsi"/>
          <w:sz w:val="22"/>
          <w:szCs w:val="22"/>
        </w:rPr>
        <w:t xml:space="preserve"> device, including a transitional </w:t>
      </w:r>
      <w:proofErr w:type="gramStart"/>
      <w:r w:rsidRPr="006D299A">
        <w:rPr>
          <w:rFonts w:asciiTheme="minorHAnsi" w:hAnsiTheme="minorHAnsi"/>
          <w:sz w:val="22"/>
          <w:szCs w:val="22"/>
        </w:rPr>
        <w:t>device, that</w:t>
      </w:r>
      <w:proofErr w:type="gramEnd"/>
      <w:r w:rsidRPr="006D299A">
        <w:rPr>
          <w:rFonts w:asciiTheme="minorHAnsi" w:hAnsiTheme="minorHAnsi"/>
          <w:sz w:val="22"/>
          <w:szCs w:val="22"/>
        </w:rPr>
        <w:t xml:space="preserve"> is the object of an investigation.</w:t>
      </w:r>
    </w:p>
    <w:p w:rsid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D299A" w:rsidRP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D299A">
        <w:rPr>
          <w:rFonts w:asciiTheme="minorHAnsi" w:hAnsiTheme="minorHAnsi"/>
          <w:b/>
          <w:iCs/>
          <w:sz w:val="22"/>
          <w:szCs w:val="22"/>
        </w:rPr>
        <w:t>Investigation</w:t>
      </w:r>
      <w:r>
        <w:rPr>
          <w:rFonts w:asciiTheme="minorHAnsi" w:hAnsiTheme="minorHAnsi"/>
          <w:b/>
          <w:iCs/>
          <w:sz w:val="22"/>
          <w:szCs w:val="22"/>
        </w:rPr>
        <w:t xml:space="preserve">: </w:t>
      </w:r>
      <w:r w:rsidRPr="006D299A">
        <w:rPr>
          <w:rFonts w:asciiTheme="minorHAnsi" w:hAnsiTheme="minorHAnsi"/>
          <w:iCs/>
          <w:sz w:val="22"/>
          <w:szCs w:val="22"/>
        </w:rPr>
        <w:t>A</w:t>
      </w:r>
      <w:r w:rsidRPr="006D299A">
        <w:rPr>
          <w:rFonts w:asciiTheme="minorHAnsi" w:hAnsiTheme="minorHAnsi"/>
          <w:sz w:val="22"/>
          <w:szCs w:val="22"/>
        </w:rPr>
        <w:t xml:space="preserve"> clinical investigation or research involving one or more subjects to determine the safety or effectiveness of a device.</w:t>
      </w:r>
    </w:p>
    <w:p w:rsidR="006D299A" w:rsidRDefault="006D299A" w:rsidP="006D299A">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030A45" w:rsidRDefault="00030A45" w:rsidP="00163252">
      <w:pPr>
        <w:pStyle w:val="BodyText"/>
        <w:jc w:val="both"/>
        <w:rPr>
          <w:rFonts w:asciiTheme="minorHAnsi" w:hAnsiTheme="minorHAnsi"/>
          <w:sz w:val="22"/>
          <w:szCs w:val="22"/>
        </w:rPr>
      </w:pPr>
    </w:p>
    <w:p w:rsidR="00030A45" w:rsidRPr="00030A45" w:rsidRDefault="00030A45" w:rsidP="00C250C3">
      <w:pPr>
        <w:pStyle w:val="BodyText"/>
        <w:jc w:val="both"/>
        <w:rPr>
          <w:rFonts w:asciiTheme="minorHAnsi" w:hAnsiTheme="minorHAnsi"/>
          <w:sz w:val="22"/>
          <w:szCs w:val="22"/>
        </w:rPr>
      </w:pPr>
      <w:r w:rsidRPr="006D299A">
        <w:rPr>
          <w:rFonts w:asciiTheme="minorHAnsi" w:hAnsiTheme="minorHAnsi"/>
          <w:b/>
          <w:sz w:val="22"/>
          <w:szCs w:val="22"/>
        </w:rPr>
        <w:t>General Responsibilities:</w:t>
      </w:r>
      <w:r w:rsidR="00C250C3">
        <w:rPr>
          <w:rFonts w:asciiTheme="minorHAnsi" w:hAnsiTheme="minorHAnsi"/>
          <w:b/>
          <w:sz w:val="22"/>
          <w:szCs w:val="22"/>
        </w:rPr>
        <w:t xml:space="preserve"> </w:t>
      </w:r>
      <w:r w:rsidRPr="00030A45">
        <w:rPr>
          <w:rFonts w:asciiTheme="minorHAnsi" w:hAnsiTheme="minorHAnsi"/>
          <w:sz w:val="22"/>
          <w:szCs w:val="22"/>
        </w:rPr>
        <w:t xml:space="preserve">It is the responsibility of </w:t>
      </w:r>
      <w:r w:rsidR="00C250C3">
        <w:rPr>
          <w:rFonts w:asciiTheme="minorHAnsi" w:hAnsiTheme="minorHAnsi"/>
          <w:sz w:val="22"/>
          <w:szCs w:val="22"/>
        </w:rPr>
        <w:t xml:space="preserve">the </w:t>
      </w:r>
      <w:r w:rsidRPr="00030A45">
        <w:rPr>
          <w:rFonts w:asciiTheme="minorHAnsi" w:hAnsiTheme="minorHAnsi"/>
          <w:sz w:val="22"/>
          <w:szCs w:val="22"/>
        </w:rPr>
        <w:t xml:space="preserve">Principal Investigator </w:t>
      </w:r>
      <w:r w:rsidR="00C250C3">
        <w:rPr>
          <w:rFonts w:asciiTheme="minorHAnsi" w:hAnsiTheme="minorHAnsi"/>
          <w:sz w:val="22"/>
          <w:szCs w:val="22"/>
        </w:rPr>
        <w:t xml:space="preserve">(PI) </w:t>
      </w:r>
      <w:r w:rsidRPr="00030A45">
        <w:rPr>
          <w:rFonts w:asciiTheme="minorHAnsi" w:hAnsiTheme="minorHAnsi"/>
          <w:sz w:val="22"/>
          <w:szCs w:val="22"/>
        </w:rPr>
        <w:t xml:space="preserve">to ensure accurate and complete accountability and proper storage of the investigational products used in a clinical </w:t>
      </w:r>
      <w:r w:rsidR="00C250C3">
        <w:rPr>
          <w:rFonts w:asciiTheme="minorHAnsi" w:hAnsiTheme="minorHAnsi"/>
          <w:sz w:val="22"/>
          <w:szCs w:val="22"/>
        </w:rPr>
        <w:t>trial</w:t>
      </w:r>
      <w:r w:rsidRPr="00030A45">
        <w:rPr>
          <w:rFonts w:asciiTheme="minorHAnsi" w:hAnsiTheme="minorHAnsi"/>
          <w:sz w:val="22"/>
          <w:szCs w:val="22"/>
        </w:rPr>
        <w:t>.</w:t>
      </w:r>
      <w:r w:rsidR="00C250C3">
        <w:rPr>
          <w:rFonts w:asciiTheme="minorHAnsi" w:hAnsiTheme="minorHAnsi"/>
          <w:sz w:val="22"/>
          <w:szCs w:val="22"/>
        </w:rPr>
        <w:t xml:space="preserve"> </w:t>
      </w:r>
      <w:r w:rsidRPr="00030A45">
        <w:rPr>
          <w:rFonts w:asciiTheme="minorHAnsi" w:hAnsiTheme="minorHAnsi"/>
          <w:sz w:val="22"/>
          <w:szCs w:val="22"/>
        </w:rPr>
        <w:t xml:space="preserve">The </w:t>
      </w:r>
      <w:r w:rsidR="00C250C3">
        <w:rPr>
          <w:rFonts w:asciiTheme="minorHAnsi" w:hAnsiTheme="minorHAnsi"/>
          <w:sz w:val="22"/>
          <w:szCs w:val="22"/>
        </w:rPr>
        <w:t xml:space="preserve">PI is </w:t>
      </w:r>
      <w:r w:rsidRPr="00030A45">
        <w:rPr>
          <w:rFonts w:asciiTheme="minorHAnsi" w:hAnsiTheme="minorHAnsi"/>
          <w:sz w:val="22"/>
          <w:szCs w:val="22"/>
        </w:rPr>
        <w:t>responsible for maintaining device accountability records from the time of receipt to the time of final disposition (e.g., return to the Investigator) on a per subject basis.</w:t>
      </w:r>
    </w:p>
    <w:p w:rsidR="00C250C3" w:rsidRDefault="00C250C3" w:rsidP="00C250C3">
      <w:pPr>
        <w:pStyle w:val="BodyText"/>
        <w:jc w:val="both"/>
        <w:rPr>
          <w:rFonts w:asciiTheme="minorHAnsi" w:hAnsiTheme="minorHAnsi"/>
          <w:sz w:val="22"/>
          <w:szCs w:val="22"/>
        </w:rPr>
      </w:pPr>
    </w:p>
    <w:p w:rsidR="00030A45" w:rsidRPr="00030A45" w:rsidRDefault="00030A45" w:rsidP="00C250C3">
      <w:pPr>
        <w:pStyle w:val="BodyText"/>
        <w:jc w:val="both"/>
        <w:rPr>
          <w:rFonts w:asciiTheme="minorHAnsi" w:hAnsiTheme="minorHAnsi"/>
          <w:sz w:val="22"/>
          <w:szCs w:val="22"/>
        </w:rPr>
      </w:pPr>
      <w:r w:rsidRPr="00030A45">
        <w:rPr>
          <w:rFonts w:asciiTheme="minorHAnsi" w:hAnsiTheme="minorHAnsi"/>
          <w:sz w:val="22"/>
          <w:szCs w:val="22"/>
        </w:rPr>
        <w:t xml:space="preserve">Neither the </w:t>
      </w:r>
      <w:r w:rsidR="00C250C3">
        <w:rPr>
          <w:rFonts w:asciiTheme="minorHAnsi" w:hAnsiTheme="minorHAnsi"/>
          <w:sz w:val="22"/>
          <w:szCs w:val="22"/>
        </w:rPr>
        <w:t xml:space="preserve">PI </w:t>
      </w:r>
      <w:r w:rsidRPr="00030A45">
        <w:rPr>
          <w:rFonts w:asciiTheme="minorHAnsi" w:hAnsiTheme="minorHAnsi"/>
          <w:sz w:val="22"/>
          <w:szCs w:val="22"/>
        </w:rPr>
        <w:t xml:space="preserve">nor any other participating Investigator </w:t>
      </w:r>
      <w:r w:rsidR="00C250C3">
        <w:rPr>
          <w:rFonts w:asciiTheme="minorHAnsi" w:hAnsiTheme="minorHAnsi"/>
          <w:sz w:val="22"/>
          <w:szCs w:val="22"/>
        </w:rPr>
        <w:t xml:space="preserve">should </w:t>
      </w:r>
      <w:r w:rsidRPr="00030A45">
        <w:rPr>
          <w:rFonts w:asciiTheme="minorHAnsi" w:hAnsiTheme="minorHAnsi"/>
          <w:sz w:val="22"/>
          <w:szCs w:val="22"/>
        </w:rPr>
        <w:t>represent the investigational product as safe or effective for the purposes for which it is under clinical study or otherwise promote the product.</w:t>
      </w:r>
      <w:r w:rsidR="00C250C3">
        <w:rPr>
          <w:rFonts w:asciiTheme="minorHAnsi" w:hAnsiTheme="minorHAnsi"/>
          <w:sz w:val="22"/>
          <w:szCs w:val="22"/>
        </w:rPr>
        <w:t xml:space="preserve"> </w:t>
      </w:r>
    </w:p>
    <w:p w:rsidR="00C250C3" w:rsidRDefault="00C250C3" w:rsidP="00C250C3">
      <w:pPr>
        <w:pStyle w:val="BodyText"/>
        <w:jc w:val="both"/>
        <w:rPr>
          <w:rFonts w:asciiTheme="minorHAnsi" w:hAnsiTheme="minorHAnsi"/>
          <w:sz w:val="22"/>
          <w:szCs w:val="22"/>
        </w:rPr>
      </w:pPr>
    </w:p>
    <w:p w:rsidR="00030A45" w:rsidRPr="00030A45" w:rsidRDefault="00030A45" w:rsidP="00C250C3">
      <w:pPr>
        <w:pStyle w:val="BodyText"/>
        <w:jc w:val="both"/>
        <w:rPr>
          <w:rFonts w:asciiTheme="minorHAnsi" w:hAnsiTheme="minorHAnsi"/>
          <w:sz w:val="22"/>
          <w:szCs w:val="22"/>
        </w:rPr>
      </w:pPr>
      <w:r w:rsidRPr="00030A45">
        <w:rPr>
          <w:rFonts w:asciiTheme="minorHAnsi" w:hAnsiTheme="minorHAnsi"/>
          <w:sz w:val="22"/>
          <w:szCs w:val="22"/>
        </w:rPr>
        <w:t>The information required on the product label or in accompanying labeling may include but is not limited to the following:</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Study name and number</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Study Medical device name</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Lot number</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Sponsor name and place of business</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FDA required statement: "CAUTION: Investigational Device - Limited by US law to investigational use."</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Subject numbers and/or visit numbers</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Special instructions regarding use/storage</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For investigational devices, a draft package insert, user manual or other labeling that includes contraindications, hazards, warnings, precautions, adverse effects, interfering substances and devices</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Expiration date</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Quantity in container</w:t>
      </w:r>
    </w:p>
    <w:p w:rsidR="00030A45" w:rsidRPr="00030A45" w:rsidRDefault="00030A45" w:rsidP="00030A45">
      <w:pPr>
        <w:pStyle w:val="BodyText"/>
        <w:numPr>
          <w:ilvl w:val="1"/>
          <w:numId w:val="30"/>
        </w:numPr>
        <w:jc w:val="both"/>
        <w:rPr>
          <w:rFonts w:asciiTheme="minorHAnsi" w:hAnsiTheme="minorHAnsi"/>
          <w:sz w:val="22"/>
          <w:szCs w:val="22"/>
        </w:rPr>
      </w:pPr>
      <w:r w:rsidRPr="00030A45">
        <w:rPr>
          <w:rFonts w:asciiTheme="minorHAnsi" w:hAnsiTheme="minorHAnsi"/>
          <w:sz w:val="22"/>
          <w:szCs w:val="22"/>
        </w:rPr>
        <w:t>Any other information required in the applicable investigational product labeling regulations</w:t>
      </w:r>
    </w:p>
    <w:p w:rsidR="00C250C3" w:rsidRDefault="00C250C3" w:rsidP="00C250C3">
      <w:pPr>
        <w:pStyle w:val="BodyText"/>
        <w:jc w:val="both"/>
        <w:rPr>
          <w:rFonts w:asciiTheme="minorHAnsi" w:hAnsiTheme="minorHAnsi"/>
          <w:sz w:val="22"/>
          <w:szCs w:val="22"/>
        </w:rPr>
      </w:pPr>
    </w:p>
    <w:p w:rsidR="00030A45" w:rsidRPr="00030A45" w:rsidRDefault="00030A45" w:rsidP="00C250C3">
      <w:pPr>
        <w:pStyle w:val="BodyText"/>
        <w:jc w:val="both"/>
        <w:rPr>
          <w:rFonts w:asciiTheme="minorHAnsi" w:hAnsiTheme="minorHAnsi"/>
          <w:sz w:val="22"/>
          <w:szCs w:val="22"/>
        </w:rPr>
      </w:pPr>
      <w:r w:rsidRPr="00030A45">
        <w:rPr>
          <w:rFonts w:asciiTheme="minorHAnsi" w:hAnsiTheme="minorHAnsi"/>
          <w:sz w:val="22"/>
          <w:szCs w:val="22"/>
        </w:rPr>
        <w:t>The PI and/or designee must make sure that the sponsor has the correct shipping address of the site to ship investigational products.</w:t>
      </w:r>
    </w:p>
    <w:p w:rsidR="00030A45" w:rsidRPr="00030A45" w:rsidRDefault="00030A45" w:rsidP="00030A45">
      <w:pPr>
        <w:pStyle w:val="BodyText"/>
        <w:jc w:val="both"/>
        <w:rPr>
          <w:rFonts w:asciiTheme="minorHAnsi" w:hAnsiTheme="minorHAnsi"/>
          <w:sz w:val="22"/>
          <w:szCs w:val="22"/>
        </w:rPr>
      </w:pPr>
    </w:p>
    <w:p w:rsidR="00C250C3" w:rsidRDefault="006D299A" w:rsidP="00C250C3">
      <w:pPr>
        <w:pStyle w:val="BodyText"/>
        <w:jc w:val="both"/>
        <w:rPr>
          <w:rFonts w:asciiTheme="minorHAnsi" w:hAnsiTheme="minorHAnsi"/>
          <w:bCs/>
          <w:sz w:val="22"/>
          <w:szCs w:val="22"/>
        </w:rPr>
      </w:pPr>
      <w:r w:rsidRPr="006D299A">
        <w:rPr>
          <w:rFonts w:asciiTheme="minorHAnsi" w:hAnsiTheme="minorHAnsi"/>
          <w:b/>
          <w:sz w:val="22"/>
          <w:szCs w:val="22"/>
        </w:rPr>
        <w:t>Accountability:</w:t>
      </w:r>
      <w:r>
        <w:rPr>
          <w:rFonts w:asciiTheme="minorHAnsi" w:hAnsiTheme="minorHAnsi"/>
          <w:b/>
          <w:sz w:val="22"/>
          <w:szCs w:val="22"/>
        </w:rPr>
        <w:t xml:space="preserve"> </w:t>
      </w:r>
      <w:r w:rsidR="00030A45" w:rsidRPr="00030A45">
        <w:rPr>
          <w:rFonts w:asciiTheme="minorHAnsi" w:hAnsiTheme="minorHAnsi"/>
          <w:sz w:val="22"/>
          <w:szCs w:val="22"/>
        </w:rPr>
        <w:t xml:space="preserve">Upon receiving investigational products from the study sponsor, the Investigator or designee will </w:t>
      </w:r>
      <w:r w:rsidR="00030A45" w:rsidRPr="00030A45">
        <w:rPr>
          <w:rFonts w:asciiTheme="minorHAnsi" w:hAnsiTheme="minorHAnsi"/>
          <w:bCs/>
          <w:sz w:val="22"/>
          <w:szCs w:val="22"/>
        </w:rPr>
        <w:t xml:space="preserve">ensure that information on packaging slip matches exactly with what the site has received. </w:t>
      </w:r>
      <w:r w:rsidR="00C250C3">
        <w:rPr>
          <w:rFonts w:asciiTheme="minorHAnsi" w:hAnsiTheme="minorHAnsi"/>
          <w:bCs/>
          <w:sz w:val="22"/>
          <w:szCs w:val="22"/>
        </w:rPr>
        <w:t xml:space="preserve">The investigator or designee should also </w:t>
      </w:r>
      <w:r w:rsidR="00030A45" w:rsidRPr="00030A45">
        <w:rPr>
          <w:rFonts w:asciiTheme="minorHAnsi" w:hAnsiTheme="minorHAnsi"/>
          <w:bCs/>
          <w:sz w:val="22"/>
          <w:szCs w:val="22"/>
        </w:rPr>
        <w:t xml:space="preserve">check </w:t>
      </w:r>
      <w:r w:rsidR="00C250C3">
        <w:rPr>
          <w:rFonts w:asciiTheme="minorHAnsi" w:hAnsiTheme="minorHAnsi"/>
          <w:bCs/>
          <w:sz w:val="22"/>
          <w:szCs w:val="22"/>
        </w:rPr>
        <w:t xml:space="preserve">the </w:t>
      </w:r>
      <w:r w:rsidR="00030A45" w:rsidRPr="00030A45">
        <w:rPr>
          <w:rFonts w:asciiTheme="minorHAnsi" w:hAnsiTheme="minorHAnsi"/>
          <w:bCs/>
          <w:sz w:val="22"/>
          <w:szCs w:val="22"/>
        </w:rPr>
        <w:t>number of devices, device type</w:t>
      </w:r>
      <w:proofErr w:type="gramStart"/>
      <w:r w:rsidR="00030A45" w:rsidRPr="00030A45">
        <w:rPr>
          <w:rFonts w:asciiTheme="minorHAnsi" w:hAnsiTheme="minorHAnsi"/>
          <w:bCs/>
          <w:sz w:val="22"/>
          <w:szCs w:val="22"/>
        </w:rPr>
        <w:t xml:space="preserve">,  </w:t>
      </w:r>
      <w:r w:rsidR="00030A45" w:rsidRPr="00030A45">
        <w:rPr>
          <w:rFonts w:asciiTheme="minorHAnsi" w:hAnsiTheme="minorHAnsi"/>
          <w:bCs/>
          <w:sz w:val="22"/>
          <w:szCs w:val="22"/>
        </w:rPr>
        <w:lastRenderedPageBreak/>
        <w:t>lot</w:t>
      </w:r>
      <w:proofErr w:type="gramEnd"/>
      <w:r w:rsidR="00030A45" w:rsidRPr="00030A45">
        <w:rPr>
          <w:rFonts w:asciiTheme="minorHAnsi" w:hAnsiTheme="minorHAnsi"/>
          <w:bCs/>
          <w:sz w:val="22"/>
          <w:szCs w:val="22"/>
        </w:rPr>
        <w:t xml:space="preserve"> numbers, batch numbers etc</w:t>
      </w:r>
      <w:r w:rsidR="00C250C3">
        <w:rPr>
          <w:rFonts w:asciiTheme="minorHAnsi" w:hAnsiTheme="minorHAnsi"/>
          <w:bCs/>
          <w:sz w:val="22"/>
          <w:szCs w:val="22"/>
        </w:rPr>
        <w:t xml:space="preserve">.  It is good practice to </w:t>
      </w:r>
      <w:r w:rsidR="00030A45" w:rsidRPr="00030A45">
        <w:rPr>
          <w:rFonts w:asciiTheme="minorHAnsi" w:hAnsiTheme="minorHAnsi"/>
          <w:bCs/>
          <w:sz w:val="22"/>
          <w:szCs w:val="22"/>
        </w:rPr>
        <w:t xml:space="preserve">update the device accountability log with </w:t>
      </w:r>
      <w:r w:rsidR="00C250C3">
        <w:rPr>
          <w:rFonts w:asciiTheme="minorHAnsi" w:hAnsiTheme="minorHAnsi"/>
          <w:bCs/>
          <w:sz w:val="22"/>
          <w:szCs w:val="22"/>
        </w:rPr>
        <w:t xml:space="preserve">relevant </w:t>
      </w:r>
      <w:r w:rsidR="00030A45" w:rsidRPr="00030A45">
        <w:rPr>
          <w:rFonts w:asciiTheme="minorHAnsi" w:hAnsiTheme="minorHAnsi"/>
          <w:bCs/>
          <w:sz w:val="22"/>
          <w:szCs w:val="22"/>
        </w:rPr>
        <w:t>information</w:t>
      </w:r>
      <w:r w:rsidR="00C250C3">
        <w:rPr>
          <w:rFonts w:asciiTheme="minorHAnsi" w:hAnsiTheme="minorHAnsi"/>
          <w:bCs/>
          <w:sz w:val="22"/>
          <w:szCs w:val="22"/>
        </w:rPr>
        <w:t xml:space="preserve"> immediately. </w:t>
      </w:r>
    </w:p>
    <w:p w:rsidR="00C250C3" w:rsidRDefault="00C250C3" w:rsidP="00C250C3">
      <w:pPr>
        <w:pStyle w:val="BodyText"/>
        <w:jc w:val="both"/>
        <w:rPr>
          <w:rFonts w:asciiTheme="minorHAnsi" w:hAnsiTheme="minorHAnsi"/>
          <w:bCs/>
          <w:sz w:val="22"/>
          <w:szCs w:val="22"/>
        </w:rPr>
      </w:pPr>
    </w:p>
    <w:p w:rsidR="00C250C3" w:rsidRPr="00030A45" w:rsidRDefault="00C250C3" w:rsidP="00C250C3">
      <w:pPr>
        <w:pStyle w:val="BodyText"/>
        <w:jc w:val="both"/>
        <w:rPr>
          <w:rFonts w:asciiTheme="minorHAnsi" w:hAnsiTheme="minorHAnsi"/>
          <w:bCs/>
          <w:sz w:val="22"/>
          <w:szCs w:val="22"/>
        </w:rPr>
      </w:pPr>
      <w:r>
        <w:rPr>
          <w:rFonts w:asciiTheme="minorHAnsi" w:hAnsiTheme="minorHAnsi"/>
          <w:bCs/>
          <w:sz w:val="22"/>
          <w:szCs w:val="22"/>
        </w:rPr>
        <w:t xml:space="preserve">If there is a discrepancy, the </w:t>
      </w:r>
      <w:r w:rsidR="00030A45" w:rsidRPr="00030A45">
        <w:rPr>
          <w:rFonts w:asciiTheme="minorHAnsi" w:hAnsiTheme="minorHAnsi"/>
          <w:bCs/>
          <w:sz w:val="22"/>
          <w:szCs w:val="22"/>
        </w:rPr>
        <w:t xml:space="preserve">sponsor or supplier of the device </w:t>
      </w:r>
      <w:r>
        <w:rPr>
          <w:rFonts w:asciiTheme="minorHAnsi" w:hAnsiTheme="minorHAnsi"/>
          <w:bCs/>
          <w:sz w:val="22"/>
          <w:szCs w:val="22"/>
        </w:rPr>
        <w:t xml:space="preserve">should be contacted </w:t>
      </w:r>
      <w:r w:rsidR="00030A45" w:rsidRPr="00030A45">
        <w:rPr>
          <w:rFonts w:asciiTheme="minorHAnsi" w:hAnsiTheme="minorHAnsi"/>
          <w:bCs/>
          <w:sz w:val="22"/>
          <w:szCs w:val="22"/>
        </w:rPr>
        <w:t>as soon as possible.</w:t>
      </w:r>
      <w:r>
        <w:rPr>
          <w:rFonts w:asciiTheme="minorHAnsi" w:hAnsiTheme="minorHAnsi"/>
          <w:bCs/>
          <w:sz w:val="22"/>
          <w:szCs w:val="22"/>
        </w:rPr>
        <w:t xml:space="preserve"> The research team should not attempt </w:t>
      </w:r>
      <w:r w:rsidRPr="00030A45">
        <w:rPr>
          <w:rFonts w:asciiTheme="minorHAnsi" w:hAnsiTheme="minorHAnsi"/>
          <w:bCs/>
          <w:sz w:val="22"/>
          <w:szCs w:val="22"/>
        </w:rPr>
        <w:t>to re-label or tamper with the deice label without prior approval from the study sponsor.</w:t>
      </w:r>
    </w:p>
    <w:p w:rsidR="00C250C3" w:rsidRDefault="00C250C3" w:rsidP="00C250C3">
      <w:pPr>
        <w:pStyle w:val="BodyText"/>
        <w:jc w:val="both"/>
        <w:rPr>
          <w:rFonts w:asciiTheme="minorHAnsi" w:hAnsiTheme="minorHAnsi"/>
          <w:bCs/>
          <w:sz w:val="22"/>
          <w:szCs w:val="22"/>
        </w:rPr>
      </w:pPr>
    </w:p>
    <w:p w:rsidR="00C250C3" w:rsidRPr="00030A45" w:rsidRDefault="00C250C3" w:rsidP="00C250C3">
      <w:pPr>
        <w:pStyle w:val="BodyText"/>
        <w:jc w:val="both"/>
        <w:rPr>
          <w:rFonts w:asciiTheme="minorHAnsi" w:hAnsiTheme="minorHAnsi"/>
          <w:sz w:val="22"/>
          <w:szCs w:val="22"/>
        </w:rPr>
      </w:pPr>
      <w:r>
        <w:rPr>
          <w:rFonts w:asciiTheme="minorHAnsi" w:hAnsiTheme="minorHAnsi"/>
          <w:bCs/>
          <w:sz w:val="22"/>
          <w:szCs w:val="22"/>
        </w:rPr>
        <w:t xml:space="preserve">Copies </w:t>
      </w:r>
      <w:r w:rsidR="00030A45" w:rsidRPr="00030A45">
        <w:rPr>
          <w:rFonts w:asciiTheme="minorHAnsi" w:hAnsiTheme="minorHAnsi"/>
          <w:bCs/>
          <w:sz w:val="22"/>
          <w:szCs w:val="22"/>
        </w:rPr>
        <w:t xml:space="preserve">of shipping inventory and packing slips </w:t>
      </w:r>
      <w:r>
        <w:rPr>
          <w:rFonts w:asciiTheme="minorHAnsi" w:hAnsiTheme="minorHAnsi"/>
          <w:bCs/>
          <w:sz w:val="22"/>
          <w:szCs w:val="22"/>
        </w:rPr>
        <w:t xml:space="preserve">should be maintained </w:t>
      </w:r>
      <w:r w:rsidR="00030A45" w:rsidRPr="00030A45">
        <w:rPr>
          <w:rFonts w:asciiTheme="minorHAnsi" w:hAnsiTheme="minorHAnsi"/>
          <w:bCs/>
          <w:sz w:val="22"/>
          <w:szCs w:val="22"/>
        </w:rPr>
        <w:t>in the regulatory binder, along with an updated Device Accountability log,</w:t>
      </w:r>
      <w:r>
        <w:rPr>
          <w:rFonts w:asciiTheme="minorHAnsi" w:hAnsiTheme="minorHAnsi"/>
          <w:bCs/>
          <w:sz w:val="22"/>
          <w:szCs w:val="22"/>
        </w:rPr>
        <w:t xml:space="preserve"> </w:t>
      </w:r>
      <w:r w:rsidRPr="00030A45">
        <w:rPr>
          <w:rFonts w:asciiTheme="minorHAnsi" w:hAnsiTheme="minorHAnsi"/>
          <w:sz w:val="22"/>
          <w:szCs w:val="22"/>
        </w:rPr>
        <w:t xml:space="preserve">The </w:t>
      </w:r>
      <w:r>
        <w:rPr>
          <w:rFonts w:asciiTheme="minorHAnsi" w:hAnsiTheme="minorHAnsi"/>
          <w:sz w:val="22"/>
          <w:szCs w:val="22"/>
        </w:rPr>
        <w:t xml:space="preserve">PI </w:t>
      </w:r>
      <w:r w:rsidRPr="00030A45">
        <w:rPr>
          <w:rFonts w:asciiTheme="minorHAnsi" w:hAnsiTheme="minorHAnsi"/>
          <w:sz w:val="22"/>
          <w:szCs w:val="22"/>
        </w:rPr>
        <w:t xml:space="preserve">and/or designee </w:t>
      </w:r>
      <w:r>
        <w:rPr>
          <w:rFonts w:asciiTheme="minorHAnsi" w:hAnsiTheme="minorHAnsi"/>
          <w:sz w:val="22"/>
          <w:szCs w:val="22"/>
        </w:rPr>
        <w:t xml:space="preserve">should provide access to </w:t>
      </w:r>
      <w:r w:rsidRPr="00030A45">
        <w:rPr>
          <w:rFonts w:asciiTheme="minorHAnsi" w:hAnsiTheme="minorHAnsi"/>
          <w:sz w:val="22"/>
          <w:szCs w:val="22"/>
        </w:rPr>
        <w:t>study monitors to assess investigational product accountability during monitoring visits.</w:t>
      </w:r>
    </w:p>
    <w:p w:rsidR="00030A45" w:rsidRPr="00030A45" w:rsidRDefault="00030A45" w:rsidP="00030A45">
      <w:pPr>
        <w:pStyle w:val="BodyText"/>
        <w:jc w:val="both"/>
        <w:rPr>
          <w:rFonts w:asciiTheme="minorHAnsi" w:hAnsiTheme="minorHAnsi"/>
          <w:bCs/>
          <w:sz w:val="22"/>
          <w:szCs w:val="22"/>
        </w:rPr>
      </w:pPr>
    </w:p>
    <w:p w:rsidR="00030A45" w:rsidRPr="00C250C3" w:rsidRDefault="006D299A" w:rsidP="00C250C3">
      <w:pPr>
        <w:pStyle w:val="BodyText"/>
        <w:jc w:val="both"/>
        <w:rPr>
          <w:rFonts w:asciiTheme="minorHAnsi" w:hAnsiTheme="minorHAnsi"/>
          <w:bCs/>
          <w:sz w:val="22"/>
          <w:szCs w:val="22"/>
        </w:rPr>
      </w:pPr>
      <w:r w:rsidRPr="006D299A">
        <w:rPr>
          <w:rFonts w:asciiTheme="minorHAnsi" w:hAnsiTheme="minorHAnsi"/>
          <w:b/>
          <w:bCs/>
          <w:sz w:val="22"/>
          <w:szCs w:val="22"/>
        </w:rPr>
        <w:t xml:space="preserve">Storage: </w:t>
      </w:r>
      <w:r w:rsidR="00C250C3">
        <w:rPr>
          <w:rFonts w:asciiTheme="minorHAnsi" w:hAnsiTheme="minorHAnsi"/>
          <w:b/>
          <w:bCs/>
          <w:sz w:val="22"/>
          <w:szCs w:val="22"/>
        </w:rPr>
        <w:t xml:space="preserve"> </w:t>
      </w:r>
      <w:r w:rsidR="00030A45" w:rsidRPr="00030A45">
        <w:rPr>
          <w:rFonts w:asciiTheme="minorHAnsi" w:hAnsiTheme="minorHAnsi"/>
          <w:bCs/>
          <w:sz w:val="22"/>
          <w:szCs w:val="22"/>
        </w:rPr>
        <w:t xml:space="preserve">Study device should be stored in a secure environment </w:t>
      </w:r>
      <w:r w:rsidR="00030A45" w:rsidRPr="00030A45">
        <w:rPr>
          <w:rFonts w:asciiTheme="minorHAnsi" w:hAnsiTheme="minorHAnsi"/>
          <w:sz w:val="22"/>
          <w:szCs w:val="22"/>
        </w:rPr>
        <w:t>with access provided only to key study personnel who have the appropriate authorization</w:t>
      </w:r>
      <w:r w:rsidR="00C250C3">
        <w:rPr>
          <w:rFonts w:asciiTheme="minorHAnsi" w:hAnsiTheme="minorHAnsi"/>
          <w:sz w:val="22"/>
          <w:szCs w:val="22"/>
        </w:rPr>
        <w:t xml:space="preserve">. </w:t>
      </w:r>
      <w:r w:rsidR="00030A45" w:rsidRPr="00030A45">
        <w:rPr>
          <w:rFonts w:asciiTheme="minorHAnsi" w:hAnsiTheme="minorHAnsi"/>
          <w:bCs/>
          <w:sz w:val="22"/>
          <w:szCs w:val="22"/>
        </w:rPr>
        <w:t>If appropriate, ensure that study device is stored at required temperature and maintain area temp log, if applicable.</w:t>
      </w:r>
      <w:r w:rsidR="00C250C3">
        <w:rPr>
          <w:rFonts w:asciiTheme="minorHAnsi" w:hAnsiTheme="minorHAnsi"/>
          <w:bCs/>
          <w:sz w:val="22"/>
          <w:szCs w:val="22"/>
        </w:rPr>
        <w:t xml:space="preserve"> </w:t>
      </w:r>
      <w:r w:rsidR="00030A45" w:rsidRPr="00030A45">
        <w:rPr>
          <w:rFonts w:asciiTheme="minorHAnsi" w:hAnsiTheme="minorHAnsi"/>
          <w:sz w:val="22"/>
          <w:szCs w:val="22"/>
        </w:rPr>
        <w:t>If the investigational product is blinded, every effort should be made not to break the blind except in the case of an emergency or a protocol-defined situation.</w:t>
      </w:r>
    </w:p>
    <w:p w:rsidR="00030A45" w:rsidRPr="00030A45" w:rsidRDefault="00030A45" w:rsidP="00030A45">
      <w:pPr>
        <w:pStyle w:val="BodyText"/>
        <w:jc w:val="both"/>
        <w:rPr>
          <w:rFonts w:asciiTheme="minorHAnsi" w:hAnsiTheme="minorHAnsi"/>
          <w:bCs/>
          <w:sz w:val="22"/>
          <w:szCs w:val="22"/>
        </w:rPr>
      </w:pPr>
    </w:p>
    <w:p w:rsidR="00030A45" w:rsidRPr="00030A45" w:rsidRDefault="006D299A" w:rsidP="00C250C3">
      <w:pPr>
        <w:pStyle w:val="BodyText"/>
        <w:jc w:val="both"/>
        <w:rPr>
          <w:rFonts w:asciiTheme="minorHAnsi" w:hAnsiTheme="minorHAnsi"/>
          <w:bCs/>
          <w:sz w:val="22"/>
          <w:szCs w:val="22"/>
        </w:rPr>
      </w:pPr>
      <w:r w:rsidRPr="006D299A">
        <w:rPr>
          <w:rFonts w:asciiTheme="minorHAnsi" w:hAnsiTheme="minorHAnsi"/>
          <w:b/>
          <w:bCs/>
          <w:sz w:val="22"/>
          <w:szCs w:val="22"/>
        </w:rPr>
        <w:t>Dispensing:</w:t>
      </w:r>
      <w:r>
        <w:rPr>
          <w:rFonts w:asciiTheme="minorHAnsi" w:hAnsiTheme="minorHAnsi"/>
          <w:bCs/>
          <w:sz w:val="22"/>
          <w:szCs w:val="22"/>
        </w:rPr>
        <w:t xml:space="preserve"> </w:t>
      </w:r>
      <w:r w:rsidR="00C250C3">
        <w:rPr>
          <w:rFonts w:asciiTheme="minorHAnsi" w:hAnsiTheme="minorHAnsi"/>
          <w:bCs/>
          <w:sz w:val="22"/>
          <w:szCs w:val="22"/>
        </w:rPr>
        <w:t xml:space="preserve"> </w:t>
      </w:r>
      <w:r w:rsidR="00030A45" w:rsidRPr="00030A45">
        <w:rPr>
          <w:rFonts w:asciiTheme="minorHAnsi" w:hAnsiTheme="minorHAnsi"/>
          <w:bCs/>
          <w:sz w:val="22"/>
          <w:szCs w:val="22"/>
        </w:rPr>
        <w:t xml:space="preserve">It is </w:t>
      </w:r>
      <w:r w:rsidR="00C250C3">
        <w:rPr>
          <w:rFonts w:asciiTheme="minorHAnsi" w:hAnsiTheme="minorHAnsi"/>
          <w:bCs/>
          <w:sz w:val="22"/>
          <w:szCs w:val="22"/>
        </w:rPr>
        <w:t xml:space="preserve">investigator’s </w:t>
      </w:r>
      <w:r w:rsidR="00030A45" w:rsidRPr="00030A45">
        <w:rPr>
          <w:rFonts w:asciiTheme="minorHAnsi" w:hAnsiTheme="minorHAnsi"/>
          <w:bCs/>
          <w:sz w:val="22"/>
          <w:szCs w:val="22"/>
        </w:rPr>
        <w:t>responsibility to ensure that the study device is used only for study subjects under PI’s personal supervision or under the supervision of a properly trained sub-Investigator.</w:t>
      </w:r>
      <w:r w:rsidR="00C250C3">
        <w:rPr>
          <w:rFonts w:asciiTheme="minorHAnsi" w:hAnsiTheme="minorHAnsi"/>
          <w:bCs/>
          <w:sz w:val="22"/>
          <w:szCs w:val="22"/>
        </w:rPr>
        <w:t xml:space="preserve"> A</w:t>
      </w:r>
      <w:r w:rsidR="00030A45" w:rsidRPr="00030A45">
        <w:rPr>
          <w:rFonts w:asciiTheme="minorHAnsi" w:hAnsiTheme="minorHAnsi"/>
          <w:sz w:val="22"/>
          <w:szCs w:val="22"/>
        </w:rPr>
        <w:t xml:space="preserve"> Study Subject Investigational Product Dispensing Form should be used for each subject including visit number, date, lot number, and the amount dispensed, returned, and lost by each study subject.</w:t>
      </w:r>
    </w:p>
    <w:p w:rsidR="00C250C3" w:rsidRDefault="00C250C3" w:rsidP="00C250C3">
      <w:pPr>
        <w:pStyle w:val="BodyText"/>
        <w:jc w:val="both"/>
        <w:rPr>
          <w:rFonts w:asciiTheme="minorHAnsi" w:hAnsiTheme="minorHAnsi"/>
          <w:bCs/>
          <w:sz w:val="22"/>
          <w:szCs w:val="22"/>
        </w:rPr>
      </w:pPr>
    </w:p>
    <w:p w:rsidR="00030A45" w:rsidRPr="00030A45" w:rsidRDefault="00030A45" w:rsidP="00C250C3">
      <w:pPr>
        <w:pStyle w:val="BodyText"/>
        <w:jc w:val="both"/>
        <w:rPr>
          <w:rFonts w:asciiTheme="minorHAnsi" w:hAnsiTheme="minorHAnsi"/>
          <w:bCs/>
          <w:sz w:val="22"/>
          <w:szCs w:val="22"/>
        </w:rPr>
      </w:pPr>
      <w:r w:rsidRPr="00030A45">
        <w:rPr>
          <w:rFonts w:asciiTheme="minorHAnsi" w:hAnsiTheme="minorHAnsi"/>
          <w:bCs/>
          <w:sz w:val="22"/>
          <w:szCs w:val="22"/>
        </w:rPr>
        <w:t>Study device Accountability Log should be updated every time a device is dispensed or returned.</w:t>
      </w:r>
    </w:p>
    <w:p w:rsidR="00030A45" w:rsidRPr="00030A45" w:rsidRDefault="00030A45" w:rsidP="00C250C3">
      <w:pPr>
        <w:pStyle w:val="BodyText"/>
        <w:jc w:val="both"/>
        <w:rPr>
          <w:rFonts w:asciiTheme="minorHAnsi" w:hAnsiTheme="minorHAnsi"/>
          <w:bCs/>
          <w:sz w:val="22"/>
          <w:szCs w:val="22"/>
        </w:rPr>
      </w:pPr>
      <w:r w:rsidRPr="00030A45">
        <w:rPr>
          <w:rFonts w:asciiTheme="minorHAnsi" w:hAnsiTheme="minorHAnsi"/>
          <w:sz w:val="22"/>
          <w:szCs w:val="22"/>
        </w:rPr>
        <w:t>During routine study monitoring visits and the study closeout visit, the Monitor will verify that investigational product documentation has been accurate and complete throughout the study.</w:t>
      </w:r>
    </w:p>
    <w:p w:rsidR="00030A45" w:rsidRPr="00030A45" w:rsidRDefault="00030A45" w:rsidP="00030A45">
      <w:pPr>
        <w:pStyle w:val="BodyText"/>
        <w:jc w:val="both"/>
        <w:rPr>
          <w:rFonts w:asciiTheme="minorHAnsi" w:hAnsiTheme="minorHAnsi"/>
          <w:bCs/>
          <w:sz w:val="22"/>
          <w:szCs w:val="22"/>
        </w:rPr>
      </w:pPr>
    </w:p>
    <w:p w:rsidR="00030A45" w:rsidRPr="00030A45" w:rsidRDefault="006D299A" w:rsidP="00C250C3">
      <w:pPr>
        <w:pStyle w:val="BodyText"/>
        <w:jc w:val="both"/>
        <w:rPr>
          <w:rFonts w:asciiTheme="minorHAnsi" w:hAnsiTheme="minorHAnsi"/>
          <w:bCs/>
          <w:sz w:val="22"/>
          <w:szCs w:val="22"/>
        </w:rPr>
      </w:pPr>
      <w:r w:rsidRPr="006D299A">
        <w:rPr>
          <w:rFonts w:asciiTheme="minorHAnsi" w:hAnsiTheme="minorHAnsi"/>
          <w:b/>
          <w:bCs/>
          <w:sz w:val="22"/>
          <w:szCs w:val="22"/>
        </w:rPr>
        <w:t xml:space="preserve">Disposal: </w:t>
      </w:r>
      <w:r w:rsidR="00C250C3">
        <w:rPr>
          <w:rFonts w:asciiTheme="minorHAnsi" w:hAnsiTheme="minorHAnsi"/>
          <w:b/>
          <w:bCs/>
          <w:sz w:val="22"/>
          <w:szCs w:val="22"/>
        </w:rPr>
        <w:t xml:space="preserve"> </w:t>
      </w:r>
      <w:r w:rsidR="00030A45" w:rsidRPr="00030A45">
        <w:rPr>
          <w:rFonts w:asciiTheme="minorHAnsi" w:hAnsiTheme="minorHAnsi"/>
          <w:bCs/>
          <w:sz w:val="22"/>
          <w:szCs w:val="22"/>
        </w:rPr>
        <w:t xml:space="preserve">Upon completion or termination of the study or investigators part of the study or at the sponsor’s request, an investigator must return to the sponsor any remaining supply of the devices obtained for the specific purpose for a research study. </w:t>
      </w:r>
    </w:p>
    <w:p w:rsidR="00C250C3" w:rsidRDefault="00C250C3" w:rsidP="00C250C3">
      <w:pPr>
        <w:pStyle w:val="BodyText"/>
        <w:jc w:val="both"/>
        <w:rPr>
          <w:rFonts w:asciiTheme="minorHAnsi" w:hAnsiTheme="minorHAnsi"/>
          <w:bCs/>
          <w:sz w:val="22"/>
          <w:szCs w:val="22"/>
        </w:rPr>
      </w:pPr>
    </w:p>
    <w:p w:rsidR="00030A45" w:rsidRPr="00030A45" w:rsidRDefault="00030A45" w:rsidP="00C250C3">
      <w:pPr>
        <w:pStyle w:val="BodyText"/>
        <w:jc w:val="both"/>
        <w:rPr>
          <w:rFonts w:asciiTheme="minorHAnsi" w:hAnsiTheme="minorHAnsi"/>
          <w:bCs/>
          <w:sz w:val="22"/>
          <w:szCs w:val="22"/>
        </w:rPr>
      </w:pPr>
      <w:r w:rsidRPr="00030A45">
        <w:rPr>
          <w:rFonts w:asciiTheme="minorHAnsi" w:hAnsiTheme="minorHAnsi"/>
          <w:bCs/>
          <w:sz w:val="22"/>
          <w:szCs w:val="22"/>
        </w:rPr>
        <w:t>Only with the written authorization of the sponsor (and in compliance with the Federal Regulations and institutional policies) the investigator can discard the device at site or retain the device.</w:t>
      </w:r>
    </w:p>
    <w:p w:rsidR="00030A45" w:rsidRDefault="00030A45" w:rsidP="00163252">
      <w:pPr>
        <w:pStyle w:val="BodyText"/>
        <w:jc w:val="both"/>
        <w:rPr>
          <w:rFonts w:asciiTheme="minorHAnsi" w:hAnsiTheme="minorHAnsi"/>
          <w:sz w:val="22"/>
          <w:szCs w:val="22"/>
        </w:rPr>
      </w:pPr>
    </w:p>
    <w:p w:rsidR="00300F5D" w:rsidRPr="00D01547" w:rsidRDefault="00300F5D" w:rsidP="00163252">
      <w:pPr>
        <w:pStyle w:val="BodyText"/>
        <w:jc w:val="both"/>
        <w:rPr>
          <w:rFonts w:asciiTheme="minorHAnsi" w:hAnsiTheme="minorHAnsi"/>
          <w:sz w:val="22"/>
          <w:szCs w:val="22"/>
        </w:rPr>
      </w:pPr>
    </w:p>
    <w:p w:rsidR="00A872A2" w:rsidRPr="00D01547" w:rsidRDefault="00AE19AE" w:rsidP="00A872A2">
      <w:pPr>
        <w:rPr>
          <w:rFonts w:asciiTheme="minorHAnsi" w:hAnsiTheme="minorHAnsi"/>
          <w:b/>
          <w:sz w:val="22"/>
          <w:szCs w:val="22"/>
        </w:rPr>
      </w:pPr>
      <w:r w:rsidRPr="00AE19AE">
        <w:rPr>
          <w:rFonts w:asciiTheme="minorHAnsi" w:hAnsiTheme="minorHAnsi"/>
          <w:b/>
          <w:sz w:val="22"/>
          <w:szCs w:val="22"/>
        </w:rPr>
        <w:t>Applicable Regulations and Guidelines</w:t>
      </w:r>
    </w:p>
    <w:p w:rsidR="00E15E84" w:rsidRDefault="00724460">
      <w:pPr>
        <w:numPr>
          <w:ilvl w:val="0"/>
          <w:numId w:val="25"/>
        </w:numPr>
        <w:rPr>
          <w:rFonts w:asciiTheme="minorHAnsi" w:hAnsiTheme="minorHAnsi"/>
          <w:sz w:val="22"/>
          <w:szCs w:val="22"/>
        </w:rPr>
      </w:pPr>
      <w:r>
        <w:rPr>
          <w:rFonts w:asciiTheme="minorHAnsi" w:hAnsiTheme="minorHAnsi"/>
          <w:sz w:val="22"/>
          <w:szCs w:val="22"/>
        </w:rPr>
        <w:t>21 CFR 812.100</w:t>
      </w:r>
    </w:p>
    <w:p w:rsidR="00D01547" w:rsidRDefault="00D01547" w:rsidP="00A872A2">
      <w:pPr>
        <w:rPr>
          <w:rFonts w:asciiTheme="minorHAnsi" w:hAnsiTheme="minorHAnsi"/>
          <w:sz w:val="22"/>
          <w:szCs w:val="22"/>
        </w:rPr>
      </w:pPr>
    </w:p>
    <w:p w:rsidR="00D01547" w:rsidRPr="00D01547" w:rsidRDefault="00AE19AE" w:rsidP="00A872A2">
      <w:pPr>
        <w:rPr>
          <w:rFonts w:asciiTheme="minorHAnsi" w:hAnsiTheme="minorHAnsi"/>
          <w:b/>
          <w:sz w:val="22"/>
          <w:szCs w:val="22"/>
        </w:rPr>
      </w:pPr>
      <w:r w:rsidRPr="00AE19AE">
        <w:rPr>
          <w:rFonts w:asciiTheme="minorHAnsi" w:hAnsiTheme="minorHAnsi"/>
          <w:b/>
          <w:sz w:val="22"/>
          <w:szCs w:val="22"/>
        </w:rPr>
        <w:t>Applicable Institutional Policies and Procedures</w:t>
      </w:r>
    </w:p>
    <w:p w:rsidR="00E15E84" w:rsidRDefault="00D01547">
      <w:pPr>
        <w:numPr>
          <w:ilvl w:val="0"/>
          <w:numId w:val="24"/>
        </w:numPr>
        <w:rPr>
          <w:rFonts w:asciiTheme="minorHAnsi" w:hAnsiTheme="minorHAnsi"/>
          <w:sz w:val="22"/>
          <w:szCs w:val="22"/>
        </w:rPr>
      </w:pPr>
      <w:r>
        <w:rPr>
          <w:rFonts w:asciiTheme="minorHAnsi" w:hAnsiTheme="minorHAnsi"/>
          <w:sz w:val="22"/>
          <w:szCs w:val="22"/>
        </w:rPr>
        <w:t>None</w:t>
      </w:r>
    </w:p>
    <w:p w:rsidR="00D01547" w:rsidRPr="00D01547" w:rsidRDefault="00D01547" w:rsidP="00A872A2">
      <w:pPr>
        <w:rPr>
          <w:rFonts w:asciiTheme="minorHAnsi" w:hAnsiTheme="minorHAnsi"/>
          <w:sz w:val="22"/>
          <w:szCs w:val="22"/>
        </w:rPr>
      </w:pPr>
    </w:p>
    <w:p w:rsidR="00A872A2" w:rsidRPr="00D01547" w:rsidRDefault="00D01547" w:rsidP="00A872A2">
      <w:pPr>
        <w:rPr>
          <w:rFonts w:asciiTheme="minorHAnsi" w:hAnsiTheme="minorHAnsi"/>
          <w:b/>
          <w:sz w:val="22"/>
          <w:szCs w:val="22"/>
        </w:rPr>
      </w:pPr>
      <w:r>
        <w:rPr>
          <w:rFonts w:asciiTheme="minorHAnsi" w:hAnsiTheme="minorHAnsi"/>
          <w:b/>
          <w:sz w:val="22"/>
          <w:szCs w:val="22"/>
        </w:rPr>
        <w:t>Attachments</w:t>
      </w:r>
    </w:p>
    <w:p w:rsidR="00C65E04" w:rsidRDefault="00C65E04" w:rsidP="00C65E04">
      <w:pPr>
        <w:numPr>
          <w:ilvl w:val="0"/>
          <w:numId w:val="24"/>
        </w:numPr>
        <w:rPr>
          <w:rFonts w:asciiTheme="minorHAnsi" w:hAnsiTheme="minorHAnsi"/>
          <w:sz w:val="22"/>
          <w:szCs w:val="22"/>
        </w:rPr>
      </w:pPr>
      <w:r>
        <w:rPr>
          <w:rFonts w:asciiTheme="minorHAnsi" w:hAnsiTheme="minorHAnsi"/>
          <w:sz w:val="22"/>
          <w:szCs w:val="22"/>
        </w:rPr>
        <w:t>Device Accountability Log</w:t>
      </w:r>
    </w:p>
    <w:p w:rsidR="00E15E84" w:rsidRDefault="00E15E84">
      <w:pPr>
        <w:rPr>
          <w:rFonts w:asciiTheme="minorHAnsi" w:hAnsiTheme="minorHAnsi"/>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6" w:history="1">
        <w:r w:rsidRPr="0078442A">
          <w:rPr>
            <w:rStyle w:val="Hyperlink"/>
            <w:rFonts w:asciiTheme="minorHAnsi" w:hAnsiTheme="minorHAnsi" w:cs="Arial"/>
            <w:b/>
            <w:bCs/>
            <w:color w:val="000000" w:themeColor="text1"/>
            <w:sz w:val="22"/>
            <w:szCs w:val="22"/>
          </w:rPr>
          <w:t>clinicaltrials@uth.tmc.edu</w:t>
        </w:r>
      </w:hyperlink>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D01547" w:rsidRPr="00D01547" w:rsidRDefault="00C65E04"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402-022</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D01547" w:rsidRPr="00D01547" w:rsidRDefault="00C65E04"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bl>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E15E84" w:rsidRDefault="00E15E84">
      <w:pPr>
        <w:rPr>
          <w:rFonts w:asciiTheme="minorHAnsi" w:hAnsiTheme="minorHAnsi"/>
          <w:sz w:val="22"/>
          <w:szCs w:val="22"/>
        </w:rPr>
      </w:pPr>
    </w:p>
    <w:sectPr w:rsidR="00E15E84" w:rsidSect="00AE19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647C11"/>
    <w:multiLevelType w:val="hybridMultilevel"/>
    <w:tmpl w:val="364A067E"/>
    <w:lvl w:ilvl="0" w:tplc="70608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D547F"/>
    <w:multiLevelType w:val="hybridMultilevel"/>
    <w:tmpl w:val="C5F0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70148"/>
    <w:multiLevelType w:val="multilevel"/>
    <w:tmpl w:val="BB66CE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3026731"/>
    <w:multiLevelType w:val="hybridMultilevel"/>
    <w:tmpl w:val="1C4C4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B73684"/>
    <w:multiLevelType w:val="hybridMultilevel"/>
    <w:tmpl w:val="CCFC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3">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1D3460"/>
    <w:multiLevelType w:val="hybridMultilevel"/>
    <w:tmpl w:val="8292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D466F3"/>
    <w:multiLevelType w:val="hybridMultilevel"/>
    <w:tmpl w:val="7B9A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70435D"/>
    <w:multiLevelType w:val="hybridMultilevel"/>
    <w:tmpl w:val="09B4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
  </w:num>
  <w:num w:numId="4">
    <w:abstractNumId w:val="17"/>
  </w:num>
  <w:num w:numId="5">
    <w:abstractNumId w:val="7"/>
  </w:num>
  <w:num w:numId="6">
    <w:abstractNumId w:val="2"/>
  </w:num>
  <w:num w:numId="7">
    <w:abstractNumId w:val="22"/>
  </w:num>
  <w:num w:numId="8">
    <w:abstractNumId w:val="14"/>
  </w:num>
  <w:num w:numId="9">
    <w:abstractNumId w:val="29"/>
  </w:num>
  <w:num w:numId="10">
    <w:abstractNumId w:val="8"/>
  </w:num>
  <w:num w:numId="11">
    <w:abstractNumId w:val="20"/>
  </w:num>
  <w:num w:numId="12">
    <w:abstractNumId w:val="28"/>
  </w:num>
  <w:num w:numId="13">
    <w:abstractNumId w:val="23"/>
  </w:num>
  <w:num w:numId="14">
    <w:abstractNumId w:val="19"/>
  </w:num>
  <w:num w:numId="15">
    <w:abstractNumId w:val="15"/>
  </w:num>
  <w:num w:numId="16">
    <w:abstractNumId w:val="26"/>
  </w:num>
  <w:num w:numId="17">
    <w:abstractNumId w:val="10"/>
  </w:num>
  <w:num w:numId="18">
    <w:abstractNumId w:val="9"/>
  </w:num>
  <w:num w:numId="19">
    <w:abstractNumId w:val="24"/>
  </w:num>
  <w:num w:numId="20">
    <w:abstractNumId w:val="12"/>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3"/>
  </w:num>
  <w:num w:numId="23">
    <w:abstractNumId w:val="21"/>
  </w:num>
  <w:num w:numId="24">
    <w:abstractNumId w:val="27"/>
  </w:num>
  <w:num w:numId="25">
    <w:abstractNumId w:val="4"/>
  </w:num>
  <w:num w:numId="26">
    <w:abstractNumId w:val="6"/>
  </w:num>
  <w:num w:numId="27">
    <w:abstractNumId w:val="3"/>
  </w:num>
  <w:num w:numId="28">
    <w:abstractNumId w:val="11"/>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26792"/>
    <w:rsid w:val="00030A45"/>
    <w:rsid w:val="000F253A"/>
    <w:rsid w:val="00154F6B"/>
    <w:rsid w:val="00163252"/>
    <w:rsid w:val="00187D9E"/>
    <w:rsid w:val="0019604F"/>
    <w:rsid w:val="001A4F3D"/>
    <w:rsid w:val="0025507E"/>
    <w:rsid w:val="002D647C"/>
    <w:rsid w:val="00300F5D"/>
    <w:rsid w:val="00377AB6"/>
    <w:rsid w:val="003B50D4"/>
    <w:rsid w:val="003C4BFA"/>
    <w:rsid w:val="00471EED"/>
    <w:rsid w:val="004B312D"/>
    <w:rsid w:val="004F468E"/>
    <w:rsid w:val="0056273A"/>
    <w:rsid w:val="005B53E8"/>
    <w:rsid w:val="00676362"/>
    <w:rsid w:val="006D299A"/>
    <w:rsid w:val="006F227F"/>
    <w:rsid w:val="007237BF"/>
    <w:rsid w:val="00724460"/>
    <w:rsid w:val="00754E35"/>
    <w:rsid w:val="00762D2F"/>
    <w:rsid w:val="00822231"/>
    <w:rsid w:val="00826792"/>
    <w:rsid w:val="0083194B"/>
    <w:rsid w:val="008C0087"/>
    <w:rsid w:val="00954C97"/>
    <w:rsid w:val="00A578D3"/>
    <w:rsid w:val="00A872A2"/>
    <w:rsid w:val="00AE19AE"/>
    <w:rsid w:val="00AE5A6E"/>
    <w:rsid w:val="00AF6B09"/>
    <w:rsid w:val="00B25E39"/>
    <w:rsid w:val="00B4398B"/>
    <w:rsid w:val="00C1419D"/>
    <w:rsid w:val="00C209D3"/>
    <w:rsid w:val="00C250C3"/>
    <w:rsid w:val="00C65E04"/>
    <w:rsid w:val="00C953E4"/>
    <w:rsid w:val="00CC61EB"/>
    <w:rsid w:val="00D01547"/>
    <w:rsid w:val="00D44847"/>
    <w:rsid w:val="00D77526"/>
    <w:rsid w:val="00DF2707"/>
    <w:rsid w:val="00E15E84"/>
    <w:rsid w:val="00F46EE7"/>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nicaltrials@uth.t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046A-454A-46BA-A4A6-B5F60E78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710</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5</cp:revision>
  <dcterms:created xsi:type="dcterms:W3CDTF">2010-10-14T14:43:00Z</dcterms:created>
  <dcterms:modified xsi:type="dcterms:W3CDTF">2011-05-19T16:20:00Z</dcterms:modified>
</cp:coreProperties>
</file>