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792" w:rsidRDefault="00742CB9" w:rsidP="00AD1DB4">
      <w:pPr>
        <w:rPr>
          <w:rFonts w:ascii="Calibri" w:hAnsi="Calibri"/>
          <w:b/>
          <w:sz w:val="22"/>
          <w:szCs w:val="22"/>
        </w:rPr>
      </w:pPr>
      <w:r w:rsidRPr="00742CB9">
        <w:rPr>
          <w:rFonts w:ascii="Calibri" w:hAnsi="Calibri"/>
          <w:b/>
          <w:sz w:val="22"/>
          <w:szCs w:val="22"/>
        </w:rPr>
        <w:t>GUIDANCE: Regulatory Inspections</w:t>
      </w:r>
    </w:p>
    <w:p w:rsidR="00742CB9" w:rsidRPr="00742CB9" w:rsidRDefault="00742CB9" w:rsidP="00AD1DB4">
      <w:pPr>
        <w:rPr>
          <w:rFonts w:ascii="Calibri" w:hAnsi="Calibri"/>
          <w:b/>
          <w:sz w:val="22"/>
          <w:szCs w:val="22"/>
        </w:rPr>
      </w:pPr>
    </w:p>
    <w:p w:rsidR="00A872A2" w:rsidRDefault="00742CB9" w:rsidP="00AD1DB4">
      <w:pPr>
        <w:rPr>
          <w:rFonts w:ascii="Calibri" w:hAnsi="Calibri" w:cs="Tahoma"/>
          <w:sz w:val="22"/>
          <w:szCs w:val="22"/>
        </w:rPr>
      </w:pPr>
      <w:r w:rsidRPr="009612FE">
        <w:rPr>
          <w:rFonts w:ascii="Calibri" w:hAnsi="Calibri"/>
          <w:b/>
          <w:sz w:val="22"/>
          <w:szCs w:val="22"/>
        </w:rPr>
        <w:t>Policy</w:t>
      </w:r>
      <w:r>
        <w:rPr>
          <w:rFonts w:ascii="Calibri" w:hAnsi="Calibri"/>
          <w:sz w:val="22"/>
          <w:szCs w:val="22"/>
        </w:rPr>
        <w:t xml:space="preserve">: </w:t>
      </w:r>
      <w:r w:rsidRPr="0031076B">
        <w:rPr>
          <w:rFonts w:ascii="Calibri" w:hAnsi="Calibri" w:cs="Tahoma"/>
          <w:sz w:val="22"/>
          <w:szCs w:val="22"/>
        </w:rPr>
        <w:t>Study team members and research records shall be accessible for inspection and copying by authorized representatives of the regulatory agencies and institutional auditors at reasonable times and in a reasonable manner</w:t>
      </w:r>
    </w:p>
    <w:p w:rsidR="00742CB9" w:rsidRDefault="00742CB9" w:rsidP="00AD1DB4">
      <w:pPr>
        <w:rPr>
          <w:rFonts w:ascii="Calibri" w:hAnsi="Calibri" w:cs="Tahoma"/>
          <w:sz w:val="22"/>
          <w:szCs w:val="22"/>
        </w:rPr>
      </w:pPr>
    </w:p>
    <w:p w:rsidR="00742CB9" w:rsidRPr="0031076B" w:rsidRDefault="009612FE" w:rsidP="009612FE">
      <w:pPr>
        <w:pBdr>
          <w:top w:val="single" w:sz="4" w:space="1" w:color="auto"/>
          <w:left w:val="single" w:sz="4" w:space="4" w:color="auto"/>
          <w:bottom w:val="single" w:sz="4" w:space="1" w:color="auto"/>
          <w:right w:val="single" w:sz="4" w:space="4" w:color="auto"/>
        </w:pBdr>
        <w:rPr>
          <w:rFonts w:ascii="Calibri" w:hAnsi="Calibri"/>
          <w:sz w:val="22"/>
          <w:szCs w:val="22"/>
        </w:rPr>
      </w:pPr>
      <w:r w:rsidRPr="009612FE">
        <w:rPr>
          <w:rFonts w:ascii="Calibri" w:hAnsi="Calibri"/>
          <w:b/>
          <w:sz w:val="22"/>
          <w:szCs w:val="22"/>
        </w:rPr>
        <w:t>Key Terms</w:t>
      </w:r>
      <w:r w:rsidR="00742CB9">
        <w:rPr>
          <w:rFonts w:ascii="Calibri" w:hAnsi="Calibri"/>
          <w:sz w:val="22"/>
          <w:szCs w:val="22"/>
        </w:rPr>
        <w:t xml:space="preserve">: </w:t>
      </w:r>
    </w:p>
    <w:p w:rsidR="00742CB9" w:rsidRDefault="00742CB9" w:rsidP="009612FE">
      <w:pPr>
        <w:pBdr>
          <w:top w:val="single" w:sz="4" w:space="1" w:color="auto"/>
          <w:left w:val="single" w:sz="4" w:space="4" w:color="auto"/>
          <w:bottom w:val="single" w:sz="4" w:space="1" w:color="auto"/>
          <w:right w:val="single" w:sz="4" w:space="4" w:color="auto"/>
        </w:pBdr>
        <w:jc w:val="both"/>
        <w:rPr>
          <w:rFonts w:ascii="Calibri" w:hAnsi="Calibri"/>
          <w:sz w:val="22"/>
          <w:szCs w:val="22"/>
        </w:rPr>
      </w:pPr>
    </w:p>
    <w:p w:rsidR="001B2497" w:rsidRPr="0031076B" w:rsidRDefault="001B2497" w:rsidP="009612FE">
      <w:pPr>
        <w:pBdr>
          <w:top w:val="single" w:sz="4" w:space="1" w:color="auto"/>
          <w:left w:val="single" w:sz="4" w:space="4" w:color="auto"/>
          <w:bottom w:val="single" w:sz="4" w:space="1" w:color="auto"/>
          <w:right w:val="single" w:sz="4" w:space="4" w:color="auto"/>
        </w:pBdr>
        <w:jc w:val="both"/>
        <w:rPr>
          <w:rFonts w:ascii="Calibri" w:hAnsi="Calibri"/>
          <w:sz w:val="22"/>
          <w:szCs w:val="22"/>
        </w:rPr>
      </w:pPr>
      <w:r w:rsidRPr="009612FE">
        <w:rPr>
          <w:rFonts w:ascii="Calibri" w:hAnsi="Calibri"/>
          <w:b/>
          <w:sz w:val="22"/>
          <w:szCs w:val="22"/>
          <w:u w:val="single"/>
        </w:rPr>
        <w:t xml:space="preserve">FDA </w:t>
      </w:r>
      <w:r w:rsidR="00F714B3" w:rsidRPr="009612FE">
        <w:rPr>
          <w:rFonts w:ascii="Calibri" w:hAnsi="Calibri"/>
          <w:b/>
          <w:sz w:val="22"/>
          <w:szCs w:val="22"/>
          <w:u w:val="single"/>
        </w:rPr>
        <w:t>Inspection</w:t>
      </w:r>
      <w:r w:rsidR="00F714B3" w:rsidRPr="0031076B">
        <w:rPr>
          <w:rFonts w:ascii="Calibri" w:hAnsi="Calibri"/>
          <w:sz w:val="22"/>
          <w:szCs w:val="22"/>
        </w:rPr>
        <w:t xml:space="preserve"> - The act by a regulatory </w:t>
      </w:r>
      <w:proofErr w:type="gramStart"/>
      <w:r w:rsidR="00F714B3" w:rsidRPr="0031076B">
        <w:rPr>
          <w:rFonts w:ascii="Calibri" w:hAnsi="Calibri"/>
          <w:sz w:val="22"/>
          <w:szCs w:val="22"/>
        </w:rPr>
        <w:t>authority(</w:t>
      </w:r>
      <w:proofErr w:type="spellStart"/>
      <w:proofErr w:type="gramEnd"/>
      <w:r w:rsidR="00F714B3" w:rsidRPr="0031076B">
        <w:rPr>
          <w:rFonts w:ascii="Calibri" w:hAnsi="Calibri"/>
          <w:sz w:val="22"/>
          <w:szCs w:val="22"/>
        </w:rPr>
        <w:t>ies</w:t>
      </w:r>
      <w:proofErr w:type="spellEnd"/>
      <w:r w:rsidR="00F714B3" w:rsidRPr="0031076B">
        <w:rPr>
          <w:rFonts w:ascii="Calibri" w:hAnsi="Calibri"/>
          <w:sz w:val="22"/>
          <w:szCs w:val="22"/>
        </w:rPr>
        <w:t>) of conducting an official review of documents, facilities, records, and any other resources that are deemed by the authority(</w:t>
      </w:r>
      <w:proofErr w:type="spellStart"/>
      <w:r w:rsidR="00F714B3" w:rsidRPr="0031076B">
        <w:rPr>
          <w:rFonts w:ascii="Calibri" w:hAnsi="Calibri"/>
          <w:sz w:val="22"/>
          <w:szCs w:val="22"/>
        </w:rPr>
        <w:t>ies</w:t>
      </w:r>
      <w:proofErr w:type="spellEnd"/>
      <w:r w:rsidR="00F714B3" w:rsidRPr="0031076B">
        <w:rPr>
          <w:rFonts w:ascii="Calibri" w:hAnsi="Calibri"/>
          <w:sz w:val="22"/>
          <w:szCs w:val="22"/>
        </w:rPr>
        <w:t xml:space="preserve">) to be related to the clinical trial and that may be located at the site of the trial, at the sponsor's and/or contract research </w:t>
      </w:r>
      <w:proofErr w:type="spellStart"/>
      <w:r w:rsidR="002C5A0A" w:rsidRPr="0031076B">
        <w:rPr>
          <w:rFonts w:ascii="Calibri" w:hAnsi="Calibri"/>
          <w:sz w:val="22"/>
          <w:szCs w:val="22"/>
        </w:rPr>
        <w:t>organization’s</w:t>
      </w:r>
      <w:proofErr w:type="spellEnd"/>
      <w:r w:rsidR="00F714B3" w:rsidRPr="0031076B">
        <w:rPr>
          <w:rFonts w:ascii="Calibri" w:hAnsi="Calibri"/>
          <w:sz w:val="22"/>
          <w:szCs w:val="22"/>
        </w:rPr>
        <w:t xml:space="preserve"> (CRO’s) facilities, or at other establishments deemed appropriate by the regulatory authority(</w:t>
      </w:r>
      <w:proofErr w:type="spellStart"/>
      <w:r w:rsidR="00F714B3" w:rsidRPr="0031076B">
        <w:rPr>
          <w:rFonts w:ascii="Calibri" w:hAnsi="Calibri"/>
          <w:sz w:val="22"/>
          <w:szCs w:val="22"/>
        </w:rPr>
        <w:t>ies</w:t>
      </w:r>
      <w:proofErr w:type="spellEnd"/>
      <w:r w:rsidR="00F714B3" w:rsidRPr="0031076B">
        <w:rPr>
          <w:rFonts w:ascii="Calibri" w:hAnsi="Calibri"/>
          <w:sz w:val="22"/>
          <w:szCs w:val="22"/>
        </w:rPr>
        <w:t>).</w:t>
      </w:r>
    </w:p>
    <w:p w:rsidR="009612FE" w:rsidRDefault="009612FE" w:rsidP="009612FE">
      <w:pPr>
        <w:pBdr>
          <w:top w:val="single" w:sz="4" w:space="1" w:color="auto"/>
          <w:left w:val="single" w:sz="4" w:space="4" w:color="auto"/>
          <w:bottom w:val="single" w:sz="4" w:space="1" w:color="auto"/>
          <w:right w:val="single" w:sz="4" w:space="4" w:color="auto"/>
        </w:pBdr>
        <w:jc w:val="both"/>
        <w:rPr>
          <w:rFonts w:ascii="Calibri" w:hAnsi="Calibri"/>
          <w:b/>
          <w:sz w:val="22"/>
          <w:szCs w:val="22"/>
          <w:u w:val="single"/>
        </w:rPr>
      </w:pPr>
    </w:p>
    <w:p w:rsidR="001B2497" w:rsidRDefault="001B2497" w:rsidP="009612FE">
      <w:pPr>
        <w:pBdr>
          <w:top w:val="single" w:sz="4" w:space="1" w:color="auto"/>
          <w:left w:val="single" w:sz="4" w:space="4" w:color="auto"/>
          <w:bottom w:val="single" w:sz="4" w:space="1" w:color="auto"/>
          <w:right w:val="single" w:sz="4" w:space="4" w:color="auto"/>
        </w:pBdr>
        <w:jc w:val="both"/>
        <w:rPr>
          <w:rFonts w:ascii="Calibri" w:hAnsi="Calibri"/>
          <w:sz w:val="22"/>
          <w:szCs w:val="22"/>
        </w:rPr>
      </w:pPr>
      <w:r w:rsidRPr="009612FE">
        <w:rPr>
          <w:rFonts w:ascii="Calibri" w:hAnsi="Calibri"/>
          <w:b/>
          <w:sz w:val="22"/>
          <w:szCs w:val="22"/>
          <w:u w:val="single"/>
        </w:rPr>
        <w:t>OHRP Compliance Evaluations</w:t>
      </w:r>
      <w:r w:rsidRPr="0031076B">
        <w:rPr>
          <w:rFonts w:ascii="Calibri" w:hAnsi="Calibri"/>
          <w:sz w:val="22"/>
          <w:szCs w:val="22"/>
        </w:rPr>
        <w:t xml:space="preserve"> – OHRP conducts for-cause evaluations occur in response to OHRP’s receipt of substantive written allegations or indications of non-compliance with the HHS regulations. Sources of such allegations or indications of noncompliance include, but are not limited to, research subjects and their family members, individuals involved in the conduct of research such as investigators and study coordinators, institutional officials, and research publications.</w:t>
      </w:r>
    </w:p>
    <w:p w:rsidR="009612FE" w:rsidRPr="0031076B" w:rsidRDefault="009612FE" w:rsidP="009612FE">
      <w:pPr>
        <w:pBdr>
          <w:top w:val="single" w:sz="4" w:space="1" w:color="auto"/>
          <w:left w:val="single" w:sz="4" w:space="4" w:color="auto"/>
          <w:bottom w:val="single" w:sz="4" w:space="1" w:color="auto"/>
          <w:right w:val="single" w:sz="4" w:space="4" w:color="auto"/>
        </w:pBdr>
        <w:jc w:val="both"/>
        <w:rPr>
          <w:rFonts w:ascii="Calibri" w:hAnsi="Calibri"/>
          <w:sz w:val="22"/>
          <w:szCs w:val="22"/>
        </w:rPr>
      </w:pPr>
    </w:p>
    <w:p w:rsidR="00742CB9" w:rsidRDefault="00742CB9" w:rsidP="00742CB9">
      <w:pPr>
        <w:jc w:val="both"/>
        <w:rPr>
          <w:rFonts w:ascii="Calibri" w:hAnsi="Calibri"/>
          <w:sz w:val="22"/>
          <w:szCs w:val="22"/>
        </w:rPr>
      </w:pPr>
    </w:p>
    <w:p w:rsidR="00D126CB" w:rsidRPr="004325D3" w:rsidRDefault="00742CB9" w:rsidP="00742CB9">
      <w:pPr>
        <w:jc w:val="both"/>
        <w:rPr>
          <w:rFonts w:ascii="Calibri" w:hAnsi="Calibri"/>
          <w:sz w:val="22"/>
          <w:szCs w:val="22"/>
        </w:rPr>
      </w:pPr>
      <w:r w:rsidRPr="00742CB9">
        <w:rPr>
          <w:rFonts w:ascii="Calibri" w:hAnsi="Calibri"/>
          <w:b/>
          <w:sz w:val="22"/>
          <w:szCs w:val="22"/>
        </w:rPr>
        <w:t xml:space="preserve">Notice of Inspection: </w:t>
      </w:r>
      <w:r w:rsidR="009521BF" w:rsidRPr="0031076B">
        <w:rPr>
          <w:rFonts w:ascii="Calibri" w:hAnsi="Calibri"/>
          <w:sz w:val="22"/>
          <w:szCs w:val="22"/>
        </w:rPr>
        <w:t xml:space="preserve">FDA inspectors may or may not give notice of inspection to the research site. </w:t>
      </w:r>
      <w:r w:rsidR="004325D3">
        <w:rPr>
          <w:rFonts w:ascii="Calibri" w:hAnsi="Calibri"/>
          <w:sz w:val="22"/>
          <w:szCs w:val="22"/>
        </w:rPr>
        <w:t>If the inspection is scheduled, t</w:t>
      </w:r>
      <w:r w:rsidR="004325D3" w:rsidRPr="0031076B">
        <w:rPr>
          <w:rFonts w:ascii="Calibri" w:hAnsi="Calibri"/>
          <w:sz w:val="22"/>
          <w:szCs w:val="22"/>
        </w:rPr>
        <w:t xml:space="preserve">he Principal Investigator or designee should </w:t>
      </w:r>
      <w:r w:rsidR="004325D3">
        <w:rPr>
          <w:rFonts w:ascii="Calibri" w:hAnsi="Calibri"/>
          <w:sz w:val="22"/>
          <w:szCs w:val="22"/>
        </w:rPr>
        <w:t xml:space="preserve">fill out form </w:t>
      </w:r>
      <w:r w:rsidR="004325D3" w:rsidRPr="0031076B">
        <w:rPr>
          <w:rFonts w:ascii="Calibri" w:hAnsi="Calibri"/>
          <w:sz w:val="22"/>
          <w:szCs w:val="22"/>
        </w:rPr>
        <w:t xml:space="preserve">FDA Inspection Notification form </w:t>
      </w:r>
      <w:r w:rsidR="004325D3">
        <w:rPr>
          <w:rFonts w:ascii="Calibri" w:hAnsi="Calibri"/>
          <w:sz w:val="22"/>
          <w:szCs w:val="22"/>
        </w:rPr>
        <w:t xml:space="preserve">to </w:t>
      </w:r>
      <w:r w:rsidR="004325D3" w:rsidRPr="0031076B">
        <w:rPr>
          <w:rFonts w:ascii="Calibri" w:hAnsi="Calibri"/>
          <w:sz w:val="22"/>
          <w:szCs w:val="22"/>
        </w:rPr>
        <w:t>gather important information</w:t>
      </w:r>
      <w:r w:rsidR="004325D3">
        <w:rPr>
          <w:rFonts w:ascii="Calibri" w:hAnsi="Calibri"/>
          <w:sz w:val="22"/>
          <w:szCs w:val="22"/>
        </w:rPr>
        <w:t xml:space="preserve"> about the inspection</w:t>
      </w:r>
      <w:r w:rsidR="004325D3" w:rsidRPr="0031076B">
        <w:rPr>
          <w:rFonts w:ascii="Calibri" w:hAnsi="Calibri"/>
          <w:sz w:val="22"/>
          <w:szCs w:val="22"/>
        </w:rPr>
        <w:t xml:space="preserve">. </w:t>
      </w:r>
      <w:r w:rsidR="009521BF" w:rsidRPr="004325D3">
        <w:rPr>
          <w:rFonts w:ascii="Calibri" w:hAnsi="Calibri"/>
          <w:sz w:val="22"/>
          <w:szCs w:val="22"/>
        </w:rPr>
        <w:t xml:space="preserve">When the site is aware of an impending inspection, the Principal Investigator or designee should contact </w:t>
      </w:r>
      <w:r>
        <w:rPr>
          <w:rFonts w:ascii="Calibri" w:hAnsi="Calibri"/>
          <w:sz w:val="22"/>
          <w:szCs w:val="22"/>
        </w:rPr>
        <w:t>the fo</w:t>
      </w:r>
      <w:r w:rsidR="00D126CB" w:rsidRPr="004325D3">
        <w:rPr>
          <w:rFonts w:ascii="Calibri" w:hAnsi="Calibri"/>
          <w:sz w:val="22"/>
          <w:szCs w:val="22"/>
        </w:rPr>
        <w:t>llowing:</w:t>
      </w:r>
    </w:p>
    <w:p w:rsidR="00740320" w:rsidRPr="00740320" w:rsidRDefault="00D126CB" w:rsidP="00742CB9">
      <w:pPr>
        <w:numPr>
          <w:ilvl w:val="1"/>
          <w:numId w:val="29"/>
        </w:numPr>
        <w:ind w:left="450" w:hanging="450"/>
        <w:jc w:val="both"/>
        <w:rPr>
          <w:rFonts w:ascii="Calibri" w:hAnsi="Calibri"/>
          <w:sz w:val="22"/>
          <w:szCs w:val="22"/>
        </w:rPr>
      </w:pPr>
      <w:r>
        <w:rPr>
          <w:rFonts w:ascii="Calibri" w:hAnsi="Calibri"/>
          <w:sz w:val="22"/>
          <w:szCs w:val="22"/>
        </w:rPr>
        <w:t>Clinical Trials Resource Center (CTRC will notify the IRB, Office of Research and Institutional Compliance</w:t>
      </w:r>
      <w:r w:rsidR="00740320">
        <w:rPr>
          <w:rFonts w:ascii="Calibri" w:hAnsi="Calibri"/>
          <w:sz w:val="22"/>
          <w:szCs w:val="22"/>
        </w:rPr>
        <w:t xml:space="preserve">. </w:t>
      </w:r>
      <w:r w:rsidR="00740320" w:rsidRPr="00740320">
        <w:rPr>
          <w:rFonts w:ascii="Calibri" w:hAnsi="Calibri"/>
          <w:sz w:val="22"/>
          <w:szCs w:val="22"/>
        </w:rPr>
        <w:t xml:space="preserve">The PI may use the Inspection Reporting form at </w:t>
      </w:r>
      <w:hyperlink r:id="rId5" w:history="1">
        <w:r w:rsidR="00740320" w:rsidRPr="00740320">
          <w:rPr>
            <w:rStyle w:val="Hyperlink"/>
            <w:rFonts w:ascii="Calibri" w:hAnsi="Calibri"/>
            <w:sz w:val="22"/>
            <w:szCs w:val="22"/>
          </w:rPr>
          <w:t>http://www.uth.tmc.edu/ctrc/siteinspectionnotification.html</w:t>
        </w:r>
      </w:hyperlink>
      <w:r w:rsidR="00740320" w:rsidRPr="00740320">
        <w:rPr>
          <w:rFonts w:ascii="Calibri" w:hAnsi="Calibri"/>
          <w:sz w:val="22"/>
          <w:szCs w:val="22"/>
        </w:rPr>
        <w:t>.</w:t>
      </w:r>
      <w:r w:rsidR="00740320">
        <w:rPr>
          <w:rFonts w:ascii="Calibri" w:hAnsi="Calibri"/>
          <w:sz w:val="22"/>
          <w:szCs w:val="22"/>
        </w:rPr>
        <w:t>)</w:t>
      </w:r>
      <w:r w:rsidR="00740320" w:rsidRPr="00740320">
        <w:rPr>
          <w:rFonts w:ascii="Calibri" w:hAnsi="Calibri"/>
          <w:sz w:val="22"/>
          <w:szCs w:val="22"/>
        </w:rPr>
        <w:t xml:space="preserve"> </w:t>
      </w:r>
    </w:p>
    <w:p w:rsidR="00D126CB" w:rsidRDefault="00D126CB" w:rsidP="00742CB9">
      <w:pPr>
        <w:numPr>
          <w:ilvl w:val="1"/>
          <w:numId w:val="29"/>
        </w:numPr>
        <w:ind w:left="450" w:hanging="450"/>
        <w:jc w:val="both"/>
        <w:rPr>
          <w:rFonts w:ascii="Calibri" w:hAnsi="Calibri"/>
          <w:sz w:val="22"/>
          <w:szCs w:val="22"/>
        </w:rPr>
      </w:pPr>
      <w:r w:rsidRPr="00740320">
        <w:rPr>
          <w:rFonts w:ascii="Calibri" w:hAnsi="Calibri"/>
          <w:sz w:val="22"/>
          <w:szCs w:val="22"/>
        </w:rPr>
        <w:t>Affiliated Institutions (Memorial Hermann Hospital, HCHD etc.</w:t>
      </w:r>
      <w:r w:rsidR="00740320" w:rsidRPr="00740320">
        <w:rPr>
          <w:rFonts w:ascii="Calibri" w:hAnsi="Calibri"/>
          <w:sz w:val="22"/>
          <w:szCs w:val="22"/>
        </w:rPr>
        <w:t xml:space="preserve"> For a list of contacts refer to attachment FDA</w:t>
      </w:r>
      <w:r w:rsidR="009612FE">
        <w:rPr>
          <w:rFonts w:ascii="Calibri" w:hAnsi="Calibri"/>
          <w:sz w:val="22"/>
          <w:szCs w:val="22"/>
        </w:rPr>
        <w:t xml:space="preserve"> </w:t>
      </w:r>
      <w:r w:rsidR="00740320" w:rsidRPr="00740320">
        <w:rPr>
          <w:rFonts w:ascii="Calibri" w:hAnsi="Calibri"/>
          <w:sz w:val="22"/>
          <w:szCs w:val="22"/>
        </w:rPr>
        <w:t>Inspection</w:t>
      </w:r>
      <w:r w:rsidR="009612FE">
        <w:rPr>
          <w:rFonts w:ascii="Calibri" w:hAnsi="Calibri"/>
          <w:sz w:val="22"/>
          <w:szCs w:val="22"/>
        </w:rPr>
        <w:t xml:space="preserve"> </w:t>
      </w:r>
      <w:r w:rsidR="00740320" w:rsidRPr="00740320">
        <w:rPr>
          <w:rFonts w:ascii="Calibri" w:hAnsi="Calibri"/>
          <w:sz w:val="22"/>
          <w:szCs w:val="22"/>
        </w:rPr>
        <w:t>Report.</w:t>
      </w:r>
      <w:r w:rsidRPr="00740320">
        <w:rPr>
          <w:rFonts w:ascii="Calibri" w:hAnsi="Calibri"/>
          <w:sz w:val="22"/>
          <w:szCs w:val="22"/>
        </w:rPr>
        <w:t>)</w:t>
      </w:r>
    </w:p>
    <w:p w:rsidR="00877BED" w:rsidRDefault="00877BED" w:rsidP="00742CB9">
      <w:pPr>
        <w:numPr>
          <w:ilvl w:val="1"/>
          <w:numId w:val="29"/>
        </w:numPr>
        <w:ind w:left="450" w:hanging="450"/>
        <w:jc w:val="both"/>
        <w:rPr>
          <w:rFonts w:ascii="Calibri" w:hAnsi="Calibri"/>
          <w:sz w:val="22"/>
          <w:szCs w:val="22"/>
        </w:rPr>
      </w:pPr>
      <w:r>
        <w:rPr>
          <w:rFonts w:ascii="Calibri" w:hAnsi="Calibri"/>
          <w:sz w:val="22"/>
          <w:szCs w:val="22"/>
        </w:rPr>
        <w:t>Sponsor of the research study</w:t>
      </w:r>
    </w:p>
    <w:p w:rsidR="00D126CB" w:rsidRDefault="00D126CB" w:rsidP="00D126CB">
      <w:pPr>
        <w:ind w:left="720"/>
        <w:jc w:val="both"/>
        <w:rPr>
          <w:rFonts w:ascii="Calibri" w:hAnsi="Calibri"/>
          <w:sz w:val="22"/>
          <w:szCs w:val="22"/>
        </w:rPr>
      </w:pPr>
    </w:p>
    <w:p w:rsidR="009521BF" w:rsidRPr="0031076B" w:rsidRDefault="009521BF" w:rsidP="00053AD8">
      <w:pPr>
        <w:jc w:val="both"/>
        <w:rPr>
          <w:rFonts w:ascii="Calibri" w:hAnsi="Calibri"/>
          <w:sz w:val="22"/>
          <w:szCs w:val="22"/>
        </w:rPr>
      </w:pPr>
      <w:r w:rsidRPr="00053AD8">
        <w:rPr>
          <w:rFonts w:ascii="Calibri" w:hAnsi="Calibri"/>
          <w:b/>
          <w:sz w:val="22"/>
          <w:szCs w:val="22"/>
        </w:rPr>
        <w:t>Preparation for inspection</w:t>
      </w:r>
      <w:r w:rsidRPr="0031076B">
        <w:rPr>
          <w:rFonts w:ascii="Calibri" w:hAnsi="Calibri"/>
          <w:sz w:val="22"/>
          <w:szCs w:val="22"/>
        </w:rPr>
        <w:t xml:space="preserve">: The Principal Investigator or designee may contact the Clinical Trials Resource Center for assistance to prepare for the inspection. It is good practice to review the study documents using the FDA Inspection Checklist. </w:t>
      </w:r>
      <w:r w:rsidR="00220AD2" w:rsidRPr="0031076B">
        <w:rPr>
          <w:rFonts w:ascii="Calibri" w:hAnsi="Calibri"/>
          <w:sz w:val="22"/>
          <w:szCs w:val="22"/>
        </w:rPr>
        <w:t xml:space="preserve">The Principal Investigator should make arrangements for a comfortable work area for the duration of the inspection. </w:t>
      </w:r>
    </w:p>
    <w:p w:rsidR="000A6150" w:rsidRPr="0031076B" w:rsidRDefault="000A6150" w:rsidP="000A6150">
      <w:pPr>
        <w:ind w:left="720"/>
        <w:jc w:val="both"/>
        <w:rPr>
          <w:rFonts w:ascii="Calibri" w:hAnsi="Calibri"/>
          <w:sz w:val="22"/>
          <w:szCs w:val="22"/>
        </w:rPr>
      </w:pPr>
    </w:p>
    <w:p w:rsidR="000A6150" w:rsidRPr="0031076B" w:rsidRDefault="009521BF" w:rsidP="00053AD8">
      <w:pPr>
        <w:jc w:val="both"/>
        <w:rPr>
          <w:rFonts w:ascii="Calibri" w:hAnsi="Calibri"/>
          <w:sz w:val="22"/>
          <w:szCs w:val="22"/>
        </w:rPr>
      </w:pPr>
      <w:r w:rsidRPr="00053AD8">
        <w:rPr>
          <w:rFonts w:ascii="Calibri" w:hAnsi="Calibri"/>
          <w:b/>
          <w:sz w:val="22"/>
          <w:szCs w:val="22"/>
        </w:rPr>
        <w:t>During the inspection</w:t>
      </w:r>
      <w:r w:rsidRPr="0031076B">
        <w:rPr>
          <w:rFonts w:ascii="Calibri" w:hAnsi="Calibri"/>
          <w:sz w:val="22"/>
          <w:szCs w:val="22"/>
        </w:rPr>
        <w:t xml:space="preserve"> – Upon arrival of the </w:t>
      </w:r>
      <w:r w:rsidR="005D0786" w:rsidRPr="0031076B">
        <w:rPr>
          <w:rFonts w:ascii="Calibri" w:hAnsi="Calibri"/>
          <w:sz w:val="22"/>
          <w:szCs w:val="22"/>
        </w:rPr>
        <w:t>I</w:t>
      </w:r>
      <w:r w:rsidRPr="0031076B">
        <w:rPr>
          <w:rFonts w:ascii="Calibri" w:hAnsi="Calibri"/>
          <w:sz w:val="22"/>
          <w:szCs w:val="22"/>
        </w:rPr>
        <w:t>nspecto</w:t>
      </w:r>
      <w:r w:rsidR="00F9047B" w:rsidRPr="0031076B">
        <w:rPr>
          <w:rFonts w:ascii="Calibri" w:hAnsi="Calibri"/>
          <w:sz w:val="22"/>
          <w:szCs w:val="22"/>
        </w:rPr>
        <w:t>r(s)</w:t>
      </w:r>
      <w:r w:rsidRPr="0031076B">
        <w:rPr>
          <w:rFonts w:ascii="Calibri" w:hAnsi="Calibri"/>
          <w:sz w:val="22"/>
          <w:szCs w:val="22"/>
        </w:rPr>
        <w:t xml:space="preserve">, a designated study team member should </w:t>
      </w:r>
      <w:proofErr w:type="gramStart"/>
      <w:r w:rsidRPr="0031076B">
        <w:rPr>
          <w:rFonts w:ascii="Calibri" w:hAnsi="Calibri"/>
          <w:sz w:val="22"/>
          <w:szCs w:val="22"/>
        </w:rPr>
        <w:t>inspect</w:t>
      </w:r>
      <w:proofErr w:type="gramEnd"/>
      <w:r w:rsidRPr="0031076B">
        <w:rPr>
          <w:rFonts w:ascii="Calibri" w:hAnsi="Calibri"/>
          <w:sz w:val="22"/>
          <w:szCs w:val="22"/>
        </w:rPr>
        <w:t xml:space="preserve"> the Notice of Inspection (Form 482). Within the institution premises, the FDA inspector should be accompanied by a study team member or other University staff at all times. The study team should cooperate fully but should not volunteer any unsolicited information.</w:t>
      </w:r>
    </w:p>
    <w:p w:rsidR="00BC6981" w:rsidRPr="0031076B" w:rsidRDefault="00BC6981" w:rsidP="00BC6981">
      <w:pPr>
        <w:pStyle w:val="Textlevel2"/>
        <w:spacing w:before="0"/>
        <w:ind w:left="1080" w:firstLine="0"/>
        <w:jc w:val="left"/>
        <w:rPr>
          <w:rFonts w:ascii="Calibri" w:hAnsi="Calibri"/>
          <w:sz w:val="22"/>
          <w:szCs w:val="22"/>
        </w:rPr>
      </w:pPr>
    </w:p>
    <w:p w:rsidR="000A6150" w:rsidRPr="0031076B" w:rsidRDefault="00220AD2" w:rsidP="00053AD8">
      <w:pPr>
        <w:pStyle w:val="Textlevel2"/>
        <w:spacing w:before="120"/>
        <w:ind w:left="0" w:firstLine="0"/>
        <w:jc w:val="left"/>
        <w:rPr>
          <w:rFonts w:ascii="Calibri" w:hAnsi="Calibri"/>
          <w:sz w:val="22"/>
          <w:szCs w:val="22"/>
        </w:rPr>
      </w:pPr>
      <w:r w:rsidRPr="0031076B">
        <w:rPr>
          <w:rFonts w:ascii="Calibri" w:hAnsi="Calibri"/>
          <w:sz w:val="22"/>
          <w:szCs w:val="22"/>
        </w:rPr>
        <w:t xml:space="preserve">Usually the </w:t>
      </w:r>
      <w:r w:rsidR="000A6150" w:rsidRPr="0031076B">
        <w:rPr>
          <w:rFonts w:ascii="Calibri" w:hAnsi="Calibri"/>
          <w:sz w:val="22"/>
          <w:szCs w:val="22"/>
        </w:rPr>
        <w:t xml:space="preserve">inspector </w:t>
      </w:r>
      <w:r w:rsidRPr="0031076B">
        <w:rPr>
          <w:rFonts w:ascii="Calibri" w:hAnsi="Calibri"/>
          <w:sz w:val="22"/>
          <w:szCs w:val="22"/>
        </w:rPr>
        <w:t xml:space="preserve">will </w:t>
      </w:r>
      <w:r w:rsidR="000A6150" w:rsidRPr="0031076B">
        <w:rPr>
          <w:rFonts w:ascii="Calibri" w:hAnsi="Calibri"/>
          <w:sz w:val="22"/>
          <w:szCs w:val="22"/>
        </w:rPr>
        <w:t xml:space="preserve">request </w:t>
      </w:r>
      <w:r w:rsidRPr="0031076B">
        <w:rPr>
          <w:rFonts w:ascii="Calibri" w:hAnsi="Calibri"/>
          <w:sz w:val="22"/>
          <w:szCs w:val="22"/>
        </w:rPr>
        <w:t xml:space="preserve">for </w:t>
      </w:r>
      <w:r w:rsidR="000A6150" w:rsidRPr="0031076B">
        <w:rPr>
          <w:rFonts w:ascii="Calibri" w:hAnsi="Calibri"/>
          <w:sz w:val="22"/>
          <w:szCs w:val="22"/>
        </w:rPr>
        <w:t xml:space="preserve">files </w:t>
      </w:r>
      <w:r w:rsidR="00F9047B" w:rsidRPr="0031076B">
        <w:rPr>
          <w:rFonts w:ascii="Calibri" w:hAnsi="Calibri"/>
          <w:sz w:val="22"/>
          <w:szCs w:val="22"/>
        </w:rPr>
        <w:t>to</w:t>
      </w:r>
      <w:r w:rsidR="000A6150" w:rsidRPr="0031076B">
        <w:rPr>
          <w:rFonts w:ascii="Calibri" w:hAnsi="Calibri"/>
          <w:sz w:val="22"/>
          <w:szCs w:val="22"/>
        </w:rPr>
        <w:t xml:space="preserve"> review, starting with the “general” study materials</w:t>
      </w:r>
      <w:r w:rsidR="00F9047B" w:rsidRPr="0031076B">
        <w:rPr>
          <w:rFonts w:ascii="Calibri" w:hAnsi="Calibri"/>
          <w:sz w:val="22"/>
          <w:szCs w:val="22"/>
        </w:rPr>
        <w:t>,</w:t>
      </w:r>
      <w:r w:rsidR="000A6150" w:rsidRPr="0031076B">
        <w:rPr>
          <w:rFonts w:ascii="Calibri" w:hAnsi="Calibri"/>
          <w:sz w:val="22"/>
          <w:szCs w:val="22"/>
        </w:rPr>
        <w:t xml:space="preserve"> including the regulatory documents binders, signed informed consent forms, </w:t>
      </w:r>
      <w:r w:rsidRPr="0031076B">
        <w:rPr>
          <w:rFonts w:ascii="Calibri" w:hAnsi="Calibri"/>
          <w:sz w:val="22"/>
          <w:szCs w:val="22"/>
        </w:rPr>
        <w:t xml:space="preserve">and </w:t>
      </w:r>
      <w:r w:rsidR="000A6150" w:rsidRPr="0031076B">
        <w:rPr>
          <w:rFonts w:ascii="Calibri" w:hAnsi="Calibri"/>
          <w:sz w:val="22"/>
          <w:szCs w:val="22"/>
        </w:rPr>
        <w:t xml:space="preserve">specific patient records.  Study finances and personnel records are not </w:t>
      </w:r>
      <w:r w:rsidRPr="0031076B">
        <w:rPr>
          <w:rFonts w:ascii="Calibri" w:hAnsi="Calibri"/>
          <w:sz w:val="22"/>
          <w:szCs w:val="22"/>
        </w:rPr>
        <w:t xml:space="preserve">usually </w:t>
      </w:r>
      <w:r w:rsidR="000A6150" w:rsidRPr="0031076B">
        <w:rPr>
          <w:rFonts w:ascii="Calibri" w:hAnsi="Calibri"/>
          <w:sz w:val="22"/>
          <w:szCs w:val="22"/>
        </w:rPr>
        <w:t xml:space="preserve">included in the standard inspection. </w:t>
      </w:r>
      <w:r w:rsidR="00E03D41" w:rsidRPr="0031076B">
        <w:rPr>
          <w:rFonts w:ascii="Calibri" w:hAnsi="Calibri"/>
          <w:sz w:val="22"/>
          <w:szCs w:val="22"/>
        </w:rPr>
        <w:br/>
      </w:r>
    </w:p>
    <w:p w:rsidR="00220AD2" w:rsidRPr="0031076B" w:rsidRDefault="00220AD2" w:rsidP="00053AD8">
      <w:pPr>
        <w:pStyle w:val="NormalWeb"/>
        <w:spacing w:before="120" w:beforeAutospacing="0" w:after="0" w:afterAutospacing="0"/>
        <w:rPr>
          <w:rFonts w:ascii="Calibri" w:hAnsi="Calibri" w:cs="Times New Roman"/>
          <w:sz w:val="22"/>
          <w:szCs w:val="22"/>
        </w:rPr>
      </w:pPr>
      <w:r w:rsidRPr="0031076B">
        <w:rPr>
          <w:rFonts w:ascii="Calibri" w:hAnsi="Calibri"/>
          <w:sz w:val="22"/>
          <w:szCs w:val="22"/>
        </w:rPr>
        <w:lastRenderedPageBreak/>
        <w:t xml:space="preserve">The Principal Investigator or designee should set aside time each day to talk with the </w:t>
      </w:r>
      <w:r w:rsidR="005D0786" w:rsidRPr="0031076B">
        <w:rPr>
          <w:rFonts w:ascii="Calibri" w:hAnsi="Calibri"/>
          <w:sz w:val="22"/>
          <w:szCs w:val="22"/>
        </w:rPr>
        <w:t>I</w:t>
      </w:r>
      <w:r w:rsidRPr="0031076B">
        <w:rPr>
          <w:rFonts w:ascii="Calibri" w:hAnsi="Calibri"/>
          <w:sz w:val="22"/>
          <w:szCs w:val="22"/>
        </w:rPr>
        <w:t>nspector, as well as be available for questions that may arise</w:t>
      </w:r>
      <w:r w:rsidRPr="0031076B">
        <w:rPr>
          <w:rFonts w:ascii="Calibri" w:hAnsi="Calibri" w:cs="Times New Roman"/>
          <w:sz w:val="22"/>
          <w:szCs w:val="22"/>
        </w:rPr>
        <w:t xml:space="preserve">. An escort should be assigned to the Inspector and should be available to the </w:t>
      </w:r>
      <w:r w:rsidR="005D0786" w:rsidRPr="0031076B">
        <w:rPr>
          <w:rFonts w:ascii="Calibri" w:hAnsi="Calibri" w:cs="Times New Roman"/>
          <w:sz w:val="22"/>
          <w:szCs w:val="22"/>
        </w:rPr>
        <w:t>I</w:t>
      </w:r>
      <w:r w:rsidRPr="0031076B">
        <w:rPr>
          <w:rFonts w:ascii="Calibri" w:hAnsi="Calibri" w:cs="Times New Roman"/>
          <w:sz w:val="22"/>
          <w:szCs w:val="22"/>
        </w:rPr>
        <w:t xml:space="preserve">nspector at all times. </w:t>
      </w:r>
    </w:p>
    <w:p w:rsidR="004C2A44" w:rsidRPr="0031076B" w:rsidRDefault="004C2A44" w:rsidP="00220AD2">
      <w:pPr>
        <w:pStyle w:val="Listlevel3"/>
        <w:ind w:left="1440"/>
        <w:rPr>
          <w:rFonts w:ascii="Calibri" w:hAnsi="Calibri"/>
          <w:b/>
          <w:sz w:val="22"/>
          <w:szCs w:val="22"/>
        </w:rPr>
      </w:pPr>
      <w:r w:rsidRPr="0031076B">
        <w:rPr>
          <w:rFonts w:ascii="Calibri" w:hAnsi="Calibri"/>
          <w:b/>
          <w:sz w:val="22"/>
          <w:szCs w:val="22"/>
        </w:rPr>
        <w:t xml:space="preserve"> </w:t>
      </w:r>
    </w:p>
    <w:p w:rsidR="000A6150" w:rsidRPr="0031076B" w:rsidRDefault="00220AD2" w:rsidP="00053AD8">
      <w:pPr>
        <w:pStyle w:val="Textlevel2"/>
        <w:spacing w:before="120"/>
        <w:ind w:left="0" w:firstLine="0"/>
        <w:jc w:val="left"/>
        <w:rPr>
          <w:rFonts w:ascii="Calibri" w:hAnsi="Calibri"/>
          <w:sz w:val="22"/>
          <w:szCs w:val="22"/>
        </w:rPr>
      </w:pPr>
      <w:r w:rsidRPr="0031076B">
        <w:rPr>
          <w:rFonts w:ascii="Calibri" w:hAnsi="Calibri"/>
          <w:sz w:val="22"/>
          <w:szCs w:val="22"/>
        </w:rPr>
        <w:t xml:space="preserve">FDA </w:t>
      </w:r>
      <w:r w:rsidR="005D0786" w:rsidRPr="0031076B">
        <w:rPr>
          <w:rFonts w:ascii="Calibri" w:hAnsi="Calibri"/>
          <w:sz w:val="22"/>
          <w:szCs w:val="22"/>
        </w:rPr>
        <w:t>I</w:t>
      </w:r>
      <w:r w:rsidRPr="0031076B">
        <w:rPr>
          <w:rFonts w:ascii="Calibri" w:hAnsi="Calibri"/>
          <w:sz w:val="22"/>
          <w:szCs w:val="22"/>
        </w:rPr>
        <w:t xml:space="preserve">nspectors may be allowed to take photocopies of documents. It is good practice to maintain a log of all the documents that were copied and maintain another set of the documents that were copied. This would be helpful to provide a response to any Form 483 or Warning Letter that might be </w:t>
      </w:r>
      <w:r w:rsidR="005D0786" w:rsidRPr="0031076B">
        <w:rPr>
          <w:rFonts w:ascii="Calibri" w:hAnsi="Calibri"/>
          <w:sz w:val="22"/>
          <w:szCs w:val="22"/>
        </w:rPr>
        <w:t>issued</w:t>
      </w:r>
      <w:r w:rsidRPr="0031076B">
        <w:rPr>
          <w:rFonts w:ascii="Calibri" w:hAnsi="Calibri"/>
          <w:sz w:val="22"/>
          <w:szCs w:val="22"/>
        </w:rPr>
        <w:t xml:space="preserve">. </w:t>
      </w:r>
    </w:p>
    <w:p w:rsidR="000A6150" w:rsidRPr="0031076B" w:rsidRDefault="000A6150" w:rsidP="00AD1DB4">
      <w:pPr>
        <w:ind w:left="720"/>
        <w:jc w:val="both"/>
        <w:rPr>
          <w:rFonts w:ascii="Calibri" w:hAnsi="Calibri"/>
          <w:sz w:val="22"/>
          <w:szCs w:val="22"/>
        </w:rPr>
      </w:pPr>
    </w:p>
    <w:p w:rsidR="004C2A44" w:rsidRPr="0031076B" w:rsidRDefault="004C2A44" w:rsidP="00053AD8">
      <w:pPr>
        <w:jc w:val="both"/>
        <w:rPr>
          <w:rFonts w:ascii="Calibri" w:hAnsi="Calibri"/>
          <w:b/>
          <w:sz w:val="22"/>
          <w:szCs w:val="22"/>
        </w:rPr>
      </w:pPr>
      <w:r w:rsidRPr="0031076B">
        <w:rPr>
          <w:rFonts w:ascii="Calibri" w:hAnsi="Calibri"/>
          <w:b/>
          <w:sz w:val="22"/>
          <w:szCs w:val="22"/>
        </w:rPr>
        <w:t>Exit Interview</w:t>
      </w:r>
      <w:r w:rsidR="00220AD2" w:rsidRPr="0031076B">
        <w:rPr>
          <w:rFonts w:ascii="Calibri" w:hAnsi="Calibri"/>
          <w:b/>
          <w:sz w:val="22"/>
          <w:szCs w:val="22"/>
        </w:rPr>
        <w:t xml:space="preserve"> - </w:t>
      </w:r>
      <w:r w:rsidRPr="0031076B">
        <w:rPr>
          <w:rFonts w:ascii="Calibri" w:hAnsi="Calibri"/>
          <w:sz w:val="22"/>
          <w:szCs w:val="22"/>
        </w:rPr>
        <w:t xml:space="preserve">The </w:t>
      </w:r>
      <w:r w:rsidR="005D0786" w:rsidRPr="0031076B">
        <w:rPr>
          <w:rFonts w:ascii="Calibri" w:hAnsi="Calibri"/>
          <w:sz w:val="22"/>
          <w:szCs w:val="22"/>
        </w:rPr>
        <w:t xml:space="preserve">Inspector </w:t>
      </w:r>
      <w:r w:rsidRPr="0031076B">
        <w:rPr>
          <w:rFonts w:ascii="Calibri" w:hAnsi="Calibri"/>
          <w:sz w:val="22"/>
          <w:szCs w:val="22"/>
        </w:rPr>
        <w:t xml:space="preserve">will usually hold an exit interview at the conclusion of the inspection.  The escort, Principal Investigator, a representative from Institutional Compliance, and other individuals as appropriate should be notified of the time  and place and expect to attend. During this exchange, if serious deficiencies have been found during the inspection, an Inspectional Observations form 483 will follow from the regional office, listing the deficiencies. If no deficiencies are found, or the </w:t>
      </w:r>
      <w:r w:rsidR="005D0786" w:rsidRPr="0031076B">
        <w:rPr>
          <w:rFonts w:ascii="Calibri" w:hAnsi="Calibri"/>
          <w:sz w:val="22"/>
          <w:szCs w:val="22"/>
        </w:rPr>
        <w:t>I</w:t>
      </w:r>
      <w:r w:rsidRPr="0031076B">
        <w:rPr>
          <w:rFonts w:ascii="Calibri" w:hAnsi="Calibri"/>
          <w:sz w:val="22"/>
          <w:szCs w:val="22"/>
        </w:rPr>
        <w:t>nspector has comments that she or he believes are not serious enough to warrant a 483, no form will be issued.</w:t>
      </w:r>
    </w:p>
    <w:p w:rsidR="004C2A44" w:rsidRPr="0031076B" w:rsidRDefault="004C2A44" w:rsidP="00220AD2">
      <w:pPr>
        <w:ind w:left="1440"/>
        <w:jc w:val="both"/>
        <w:rPr>
          <w:rFonts w:ascii="Calibri" w:hAnsi="Calibri"/>
          <w:sz w:val="22"/>
          <w:szCs w:val="22"/>
        </w:rPr>
      </w:pPr>
    </w:p>
    <w:p w:rsidR="004C2A44" w:rsidRPr="0031076B" w:rsidRDefault="004C2A44" w:rsidP="00053AD8">
      <w:pPr>
        <w:jc w:val="both"/>
        <w:rPr>
          <w:rFonts w:ascii="Calibri" w:hAnsi="Calibri"/>
          <w:sz w:val="22"/>
          <w:szCs w:val="22"/>
        </w:rPr>
      </w:pPr>
      <w:r w:rsidRPr="0031076B">
        <w:rPr>
          <w:rFonts w:ascii="Calibri" w:hAnsi="Calibri"/>
          <w:b/>
          <w:sz w:val="22"/>
          <w:szCs w:val="22"/>
        </w:rPr>
        <w:t>Response to FDA 483</w:t>
      </w:r>
      <w:r w:rsidR="00220AD2" w:rsidRPr="0031076B">
        <w:rPr>
          <w:rFonts w:ascii="Calibri" w:hAnsi="Calibri"/>
          <w:b/>
          <w:sz w:val="22"/>
          <w:szCs w:val="22"/>
        </w:rPr>
        <w:t xml:space="preserve"> - </w:t>
      </w:r>
      <w:r w:rsidRPr="0031076B">
        <w:rPr>
          <w:rFonts w:ascii="Calibri" w:hAnsi="Calibri"/>
          <w:sz w:val="22"/>
          <w:szCs w:val="22"/>
        </w:rPr>
        <w:t>The PI or designated shall draft a response to an FDA 483. The PI is responsible for sending the draft of the response to the UTHSC-H departmental contacts within the Clinical Trials Resource Center, Institutional Compliance, and Auditing and Advisory Services.  The PI is also responsible for sending the written response to the FDA.</w:t>
      </w:r>
      <w:r w:rsidR="00220AD2" w:rsidRPr="0031076B">
        <w:rPr>
          <w:rFonts w:ascii="Calibri" w:hAnsi="Calibri"/>
          <w:sz w:val="22"/>
          <w:szCs w:val="22"/>
        </w:rPr>
        <w:t xml:space="preserve"> </w:t>
      </w:r>
      <w:r w:rsidRPr="0031076B">
        <w:rPr>
          <w:rFonts w:ascii="Calibri" w:hAnsi="Calibri"/>
          <w:sz w:val="22"/>
          <w:szCs w:val="22"/>
        </w:rPr>
        <w:t>The written response should include specifics:</w:t>
      </w:r>
    </w:p>
    <w:p w:rsidR="004C2A44" w:rsidRPr="0031076B" w:rsidRDefault="004C2A44" w:rsidP="00053AD8">
      <w:pPr>
        <w:numPr>
          <w:ilvl w:val="1"/>
          <w:numId w:val="30"/>
        </w:numPr>
        <w:ind w:left="360" w:hanging="360"/>
        <w:jc w:val="both"/>
        <w:rPr>
          <w:rFonts w:ascii="Calibri" w:hAnsi="Calibri"/>
          <w:sz w:val="22"/>
          <w:szCs w:val="22"/>
        </w:rPr>
      </w:pPr>
      <w:r w:rsidRPr="0031076B">
        <w:rPr>
          <w:rFonts w:ascii="Calibri" w:hAnsi="Calibri"/>
          <w:sz w:val="22"/>
          <w:szCs w:val="22"/>
        </w:rPr>
        <w:t>Determine if a finding was an oversight/one-time occurrence; or systemic, where a change of procedure is indicated.</w:t>
      </w:r>
    </w:p>
    <w:p w:rsidR="004C2A44" w:rsidRPr="0031076B" w:rsidRDefault="004C2A44" w:rsidP="00053AD8">
      <w:pPr>
        <w:numPr>
          <w:ilvl w:val="1"/>
          <w:numId w:val="30"/>
        </w:numPr>
        <w:ind w:left="360" w:hanging="360"/>
        <w:jc w:val="both"/>
        <w:rPr>
          <w:rFonts w:ascii="Calibri" w:hAnsi="Calibri"/>
          <w:sz w:val="22"/>
          <w:szCs w:val="22"/>
        </w:rPr>
      </w:pPr>
      <w:r w:rsidRPr="0031076B">
        <w:rPr>
          <w:rFonts w:ascii="Calibri" w:hAnsi="Calibri"/>
          <w:sz w:val="22"/>
          <w:szCs w:val="22"/>
        </w:rPr>
        <w:t>Delineate corrective actions: including justification of why the proposed response will remediate the issue; and a realistic timeline for correction.</w:t>
      </w:r>
    </w:p>
    <w:p w:rsidR="004C2A44" w:rsidRPr="0031076B" w:rsidRDefault="004C2A44" w:rsidP="00053AD8">
      <w:pPr>
        <w:numPr>
          <w:ilvl w:val="1"/>
          <w:numId w:val="30"/>
        </w:numPr>
        <w:ind w:left="360" w:hanging="360"/>
        <w:jc w:val="both"/>
        <w:rPr>
          <w:rFonts w:ascii="Calibri" w:hAnsi="Calibri"/>
          <w:sz w:val="22"/>
          <w:szCs w:val="22"/>
        </w:rPr>
      </w:pPr>
      <w:r w:rsidRPr="0031076B">
        <w:rPr>
          <w:rFonts w:ascii="Calibri" w:hAnsi="Calibri"/>
          <w:sz w:val="22"/>
          <w:szCs w:val="22"/>
        </w:rPr>
        <w:t>If the PI disagrees with an observation: respond factually, providing clear and verifiable evidence.</w:t>
      </w:r>
    </w:p>
    <w:p w:rsidR="004C2A44" w:rsidRPr="0031076B" w:rsidRDefault="004C2A44" w:rsidP="00053AD8">
      <w:pPr>
        <w:numPr>
          <w:ilvl w:val="1"/>
          <w:numId w:val="30"/>
        </w:numPr>
        <w:ind w:left="360" w:hanging="360"/>
        <w:jc w:val="both"/>
        <w:rPr>
          <w:rFonts w:ascii="Calibri" w:hAnsi="Calibri"/>
          <w:sz w:val="22"/>
          <w:szCs w:val="22"/>
        </w:rPr>
      </w:pPr>
      <w:r w:rsidRPr="0031076B">
        <w:rPr>
          <w:rFonts w:ascii="Calibri" w:hAnsi="Calibri"/>
          <w:sz w:val="22"/>
          <w:szCs w:val="22"/>
        </w:rPr>
        <w:t>Address each particular observation or finding, point by point.</w:t>
      </w:r>
    </w:p>
    <w:p w:rsidR="004C2A44" w:rsidRPr="0031076B" w:rsidRDefault="004C2A44" w:rsidP="00053AD8">
      <w:pPr>
        <w:numPr>
          <w:ilvl w:val="1"/>
          <w:numId w:val="30"/>
        </w:numPr>
        <w:ind w:left="360" w:hanging="360"/>
        <w:jc w:val="both"/>
        <w:rPr>
          <w:rFonts w:ascii="Calibri" w:hAnsi="Calibri"/>
          <w:sz w:val="22"/>
          <w:szCs w:val="22"/>
        </w:rPr>
      </w:pPr>
      <w:r w:rsidRPr="0031076B">
        <w:rPr>
          <w:rFonts w:ascii="Calibri" w:hAnsi="Calibri"/>
          <w:sz w:val="22"/>
          <w:szCs w:val="22"/>
        </w:rPr>
        <w:t>The reply should be sent within two weeks. Keep a copy of the final signed response in your office.</w:t>
      </w:r>
    </w:p>
    <w:p w:rsidR="00D4318A" w:rsidRPr="0031076B" w:rsidRDefault="00220AD2" w:rsidP="00D4318A">
      <w:pPr>
        <w:ind w:left="1080"/>
        <w:jc w:val="both"/>
        <w:rPr>
          <w:rFonts w:ascii="Calibri" w:hAnsi="Calibri"/>
          <w:sz w:val="22"/>
          <w:szCs w:val="22"/>
        </w:rPr>
      </w:pPr>
      <w:r w:rsidRPr="0031076B">
        <w:rPr>
          <w:rFonts w:ascii="Calibri" w:hAnsi="Calibri"/>
          <w:sz w:val="22"/>
          <w:szCs w:val="22"/>
        </w:rPr>
        <w:t xml:space="preserve"> </w:t>
      </w:r>
    </w:p>
    <w:p w:rsidR="004C2A44" w:rsidRPr="0031076B" w:rsidRDefault="004C2A44" w:rsidP="00053AD8">
      <w:pPr>
        <w:jc w:val="both"/>
        <w:rPr>
          <w:rFonts w:ascii="Calibri" w:hAnsi="Calibri"/>
          <w:sz w:val="22"/>
          <w:szCs w:val="22"/>
        </w:rPr>
      </w:pPr>
      <w:r w:rsidRPr="0031076B">
        <w:rPr>
          <w:rFonts w:ascii="Calibri" w:hAnsi="Calibri"/>
          <w:b/>
          <w:sz w:val="22"/>
          <w:szCs w:val="22"/>
        </w:rPr>
        <w:t>To request an EIR (establishment inspection report)</w:t>
      </w:r>
      <w:r w:rsidR="00220AD2" w:rsidRPr="0031076B">
        <w:rPr>
          <w:rFonts w:ascii="Calibri" w:hAnsi="Calibri"/>
          <w:b/>
          <w:sz w:val="22"/>
          <w:szCs w:val="22"/>
        </w:rPr>
        <w:t xml:space="preserve"> - </w:t>
      </w:r>
      <w:r w:rsidRPr="0031076B">
        <w:rPr>
          <w:rFonts w:ascii="Calibri" w:hAnsi="Calibri"/>
          <w:sz w:val="22"/>
          <w:szCs w:val="22"/>
        </w:rPr>
        <w:t xml:space="preserve">The FDA inspector will file an EIR within approximately 30 days.  This report is subsequently available through FOI.  It may be requested from: </w:t>
      </w:r>
    </w:p>
    <w:p w:rsidR="00053AD8" w:rsidRDefault="00053AD8" w:rsidP="0031076B">
      <w:pPr>
        <w:ind w:left="720"/>
        <w:rPr>
          <w:rFonts w:ascii="Calibri" w:hAnsi="Calibri"/>
          <w:color w:val="000000"/>
          <w:sz w:val="22"/>
          <w:szCs w:val="22"/>
        </w:rPr>
      </w:pPr>
    </w:p>
    <w:p w:rsidR="00095CA7" w:rsidRPr="0031076B" w:rsidRDefault="00095CA7" w:rsidP="0031076B">
      <w:pPr>
        <w:ind w:left="720"/>
        <w:rPr>
          <w:rFonts w:ascii="Calibri" w:hAnsi="Calibri"/>
          <w:color w:val="000000"/>
          <w:sz w:val="22"/>
          <w:szCs w:val="22"/>
        </w:rPr>
      </w:pPr>
      <w:r w:rsidRPr="0031076B">
        <w:rPr>
          <w:rFonts w:ascii="Calibri" w:hAnsi="Calibri"/>
          <w:color w:val="000000"/>
          <w:sz w:val="22"/>
          <w:szCs w:val="22"/>
        </w:rPr>
        <w:t>Food and Drug Administration</w:t>
      </w:r>
    </w:p>
    <w:p w:rsidR="00095CA7" w:rsidRPr="0031076B" w:rsidRDefault="00095CA7" w:rsidP="0031076B">
      <w:pPr>
        <w:ind w:left="720"/>
        <w:rPr>
          <w:rFonts w:ascii="Calibri" w:hAnsi="Calibri"/>
          <w:color w:val="000000"/>
          <w:sz w:val="22"/>
          <w:szCs w:val="22"/>
        </w:rPr>
      </w:pPr>
      <w:r w:rsidRPr="0031076B">
        <w:rPr>
          <w:rFonts w:ascii="Calibri" w:hAnsi="Calibri"/>
          <w:color w:val="000000"/>
          <w:sz w:val="22"/>
          <w:szCs w:val="22"/>
        </w:rPr>
        <w:t xml:space="preserve">Division of Freedom of Information (HFI-35)  </w:t>
      </w:r>
    </w:p>
    <w:p w:rsidR="00095CA7" w:rsidRPr="0031076B" w:rsidRDefault="00095CA7" w:rsidP="0031076B">
      <w:pPr>
        <w:ind w:left="720"/>
        <w:rPr>
          <w:rFonts w:ascii="Calibri" w:hAnsi="Calibri"/>
          <w:color w:val="000000"/>
          <w:sz w:val="22"/>
          <w:szCs w:val="22"/>
        </w:rPr>
      </w:pPr>
      <w:r w:rsidRPr="0031076B">
        <w:rPr>
          <w:rFonts w:ascii="Calibri" w:hAnsi="Calibri"/>
          <w:color w:val="000000"/>
          <w:sz w:val="22"/>
          <w:szCs w:val="22"/>
        </w:rPr>
        <w:t>Office of Shared Services</w:t>
      </w:r>
    </w:p>
    <w:p w:rsidR="00095CA7" w:rsidRPr="0031076B" w:rsidRDefault="00095CA7" w:rsidP="0031076B">
      <w:pPr>
        <w:ind w:left="720"/>
        <w:rPr>
          <w:rFonts w:ascii="Calibri" w:hAnsi="Calibri"/>
          <w:color w:val="000000"/>
          <w:sz w:val="22"/>
          <w:szCs w:val="22"/>
        </w:rPr>
      </w:pPr>
      <w:r w:rsidRPr="0031076B">
        <w:rPr>
          <w:rFonts w:ascii="Calibri" w:hAnsi="Calibri"/>
          <w:color w:val="000000"/>
          <w:sz w:val="22"/>
          <w:szCs w:val="22"/>
        </w:rPr>
        <w:t>Office of Public Information and Library Services</w:t>
      </w:r>
    </w:p>
    <w:p w:rsidR="00095CA7" w:rsidRPr="0031076B" w:rsidRDefault="00095CA7" w:rsidP="0031076B">
      <w:pPr>
        <w:ind w:left="720"/>
        <w:rPr>
          <w:rFonts w:ascii="Calibri" w:hAnsi="Calibri"/>
          <w:color w:val="000000"/>
          <w:sz w:val="22"/>
          <w:szCs w:val="22"/>
        </w:rPr>
      </w:pPr>
      <w:r w:rsidRPr="0031076B">
        <w:rPr>
          <w:rFonts w:ascii="Calibri" w:hAnsi="Calibri"/>
          <w:color w:val="000000"/>
          <w:sz w:val="22"/>
          <w:szCs w:val="22"/>
        </w:rPr>
        <w:t xml:space="preserve">5600 Fishers Lane </w:t>
      </w:r>
    </w:p>
    <w:p w:rsidR="00095CA7" w:rsidRPr="0031076B" w:rsidRDefault="00095CA7" w:rsidP="0031076B">
      <w:pPr>
        <w:ind w:left="720"/>
        <w:rPr>
          <w:rFonts w:ascii="Calibri" w:hAnsi="Calibri"/>
          <w:color w:val="000000"/>
          <w:sz w:val="22"/>
          <w:szCs w:val="22"/>
        </w:rPr>
      </w:pPr>
      <w:r w:rsidRPr="0031076B">
        <w:rPr>
          <w:rFonts w:ascii="Calibri" w:hAnsi="Calibri"/>
          <w:color w:val="000000"/>
          <w:sz w:val="22"/>
          <w:szCs w:val="22"/>
        </w:rPr>
        <w:t>Rockville, MD 20857</w:t>
      </w:r>
    </w:p>
    <w:p w:rsidR="004C2A44" w:rsidRPr="0031076B" w:rsidRDefault="004C2A44" w:rsidP="004C2A44">
      <w:pPr>
        <w:ind w:left="720"/>
        <w:jc w:val="both"/>
        <w:rPr>
          <w:rFonts w:ascii="Calibri" w:hAnsi="Calibri"/>
          <w:sz w:val="22"/>
          <w:szCs w:val="22"/>
        </w:rPr>
      </w:pPr>
    </w:p>
    <w:p w:rsidR="00220AD2" w:rsidRPr="0031076B" w:rsidRDefault="004C2A44" w:rsidP="00053AD8">
      <w:pPr>
        <w:jc w:val="both"/>
        <w:rPr>
          <w:rFonts w:ascii="Calibri" w:hAnsi="Calibri"/>
          <w:sz w:val="22"/>
          <w:szCs w:val="22"/>
        </w:rPr>
      </w:pPr>
      <w:r w:rsidRPr="0031076B">
        <w:rPr>
          <w:rFonts w:ascii="Calibri" w:hAnsi="Calibri"/>
          <w:b/>
          <w:sz w:val="22"/>
          <w:szCs w:val="22"/>
        </w:rPr>
        <w:t>Institutional follow up</w:t>
      </w:r>
      <w:r w:rsidR="00220AD2" w:rsidRPr="0031076B">
        <w:rPr>
          <w:rFonts w:ascii="Calibri" w:hAnsi="Calibri"/>
          <w:b/>
          <w:sz w:val="22"/>
          <w:szCs w:val="22"/>
        </w:rPr>
        <w:t xml:space="preserve"> - </w:t>
      </w:r>
      <w:r w:rsidRPr="0031076B">
        <w:rPr>
          <w:rFonts w:ascii="Calibri" w:hAnsi="Calibri"/>
          <w:sz w:val="22"/>
          <w:szCs w:val="22"/>
        </w:rPr>
        <w:t>Please provide a copy of the</w:t>
      </w:r>
      <w:r w:rsidRPr="0031076B">
        <w:rPr>
          <w:rFonts w:ascii="Calibri" w:hAnsi="Calibri"/>
          <w:b/>
          <w:sz w:val="22"/>
          <w:szCs w:val="22"/>
        </w:rPr>
        <w:t xml:space="preserve"> final</w:t>
      </w:r>
      <w:r w:rsidRPr="0031076B">
        <w:rPr>
          <w:rFonts w:ascii="Calibri" w:hAnsi="Calibri"/>
          <w:sz w:val="22"/>
          <w:szCs w:val="22"/>
        </w:rPr>
        <w:t xml:space="preserve"> establishment inspection </w:t>
      </w:r>
      <w:proofErr w:type="gramStart"/>
      <w:r w:rsidRPr="0031076B">
        <w:rPr>
          <w:rFonts w:ascii="Calibri" w:hAnsi="Calibri"/>
          <w:sz w:val="22"/>
          <w:szCs w:val="22"/>
        </w:rPr>
        <w:t xml:space="preserve">report </w:t>
      </w:r>
      <w:r w:rsidR="00220AD2" w:rsidRPr="0031076B">
        <w:rPr>
          <w:rFonts w:ascii="Calibri" w:hAnsi="Calibri"/>
          <w:sz w:val="22"/>
          <w:szCs w:val="22"/>
        </w:rPr>
        <w:t xml:space="preserve"> </w:t>
      </w:r>
      <w:r w:rsidRPr="0031076B">
        <w:rPr>
          <w:rFonts w:ascii="Calibri" w:hAnsi="Calibri"/>
          <w:sz w:val="22"/>
          <w:szCs w:val="22"/>
        </w:rPr>
        <w:t>(</w:t>
      </w:r>
      <w:proofErr w:type="gramEnd"/>
      <w:r w:rsidRPr="0031076B">
        <w:rPr>
          <w:rFonts w:ascii="Calibri" w:hAnsi="Calibri"/>
          <w:sz w:val="22"/>
          <w:szCs w:val="22"/>
        </w:rPr>
        <w:t>EIR) and/or the Inspectional Observation Form 483 upon receipt to the UTHSC-H department</w:t>
      </w:r>
      <w:r w:rsidR="00095CA7" w:rsidRPr="0031076B">
        <w:rPr>
          <w:rFonts w:ascii="Calibri" w:hAnsi="Calibri"/>
          <w:sz w:val="22"/>
          <w:szCs w:val="22"/>
        </w:rPr>
        <w:t xml:space="preserve"> Directors</w:t>
      </w:r>
      <w:r w:rsidRPr="0031076B">
        <w:rPr>
          <w:rFonts w:ascii="Calibri" w:hAnsi="Calibri"/>
          <w:sz w:val="22"/>
          <w:szCs w:val="22"/>
        </w:rPr>
        <w:t xml:space="preserve"> of the Clinical Trials Resource Center, Institutional Compliance, and Auditing and Advisory Services.</w:t>
      </w:r>
    </w:p>
    <w:p w:rsidR="00220AD2" w:rsidRPr="0031076B" w:rsidRDefault="00220AD2" w:rsidP="00220AD2">
      <w:pPr>
        <w:pStyle w:val="ListParagraph"/>
        <w:rPr>
          <w:rFonts w:ascii="Calibri" w:hAnsi="Calibri"/>
          <w:sz w:val="22"/>
          <w:szCs w:val="22"/>
        </w:rPr>
      </w:pPr>
    </w:p>
    <w:p w:rsidR="00C947F0" w:rsidRPr="0031076B" w:rsidRDefault="001B2497" w:rsidP="00053AD8">
      <w:pPr>
        <w:pStyle w:val="BodyText"/>
        <w:jc w:val="both"/>
        <w:rPr>
          <w:rFonts w:ascii="Calibri" w:hAnsi="Calibri"/>
          <w:sz w:val="22"/>
          <w:szCs w:val="22"/>
        </w:rPr>
      </w:pPr>
      <w:r w:rsidRPr="0031076B">
        <w:rPr>
          <w:rFonts w:ascii="Calibri" w:hAnsi="Calibri"/>
          <w:b/>
          <w:sz w:val="22"/>
          <w:szCs w:val="22"/>
        </w:rPr>
        <w:t>Reporting</w:t>
      </w:r>
      <w:r w:rsidR="00C947F0" w:rsidRPr="0031076B">
        <w:rPr>
          <w:rFonts w:ascii="Calibri" w:hAnsi="Calibri"/>
          <w:b/>
          <w:sz w:val="22"/>
          <w:szCs w:val="22"/>
        </w:rPr>
        <w:t xml:space="preserve"> – </w:t>
      </w:r>
      <w:r w:rsidR="00C947F0" w:rsidRPr="0031076B">
        <w:rPr>
          <w:rFonts w:ascii="Calibri" w:hAnsi="Calibri"/>
          <w:sz w:val="22"/>
          <w:szCs w:val="22"/>
        </w:rPr>
        <w:t xml:space="preserve">The Principal Investigator is responsible for </w:t>
      </w:r>
      <w:r w:rsidR="00815624" w:rsidRPr="0031076B">
        <w:rPr>
          <w:rFonts w:ascii="Calibri" w:hAnsi="Calibri"/>
          <w:sz w:val="22"/>
          <w:szCs w:val="22"/>
        </w:rPr>
        <w:t>notifying</w:t>
      </w:r>
      <w:r w:rsidR="00C947F0" w:rsidRPr="0031076B">
        <w:rPr>
          <w:rFonts w:ascii="Calibri" w:hAnsi="Calibri"/>
          <w:sz w:val="22"/>
          <w:szCs w:val="22"/>
        </w:rPr>
        <w:t xml:space="preserve"> </w:t>
      </w:r>
      <w:r w:rsidR="00815624" w:rsidRPr="0031076B">
        <w:rPr>
          <w:rFonts w:ascii="Calibri" w:hAnsi="Calibri"/>
          <w:sz w:val="22"/>
          <w:szCs w:val="22"/>
        </w:rPr>
        <w:t xml:space="preserve">institutional officials of </w:t>
      </w:r>
      <w:r w:rsidR="00EB72F2" w:rsidRPr="0031076B">
        <w:rPr>
          <w:rFonts w:ascii="Calibri" w:hAnsi="Calibri"/>
          <w:sz w:val="22"/>
          <w:szCs w:val="22"/>
        </w:rPr>
        <w:t>before and after the inspection</w:t>
      </w:r>
      <w:r w:rsidR="00C947F0" w:rsidRPr="0031076B">
        <w:rPr>
          <w:rFonts w:ascii="Calibri" w:hAnsi="Calibri"/>
          <w:bCs/>
          <w:sz w:val="22"/>
          <w:szCs w:val="22"/>
        </w:rPr>
        <w:t>:</w:t>
      </w:r>
    </w:p>
    <w:p w:rsidR="00C947F0" w:rsidRPr="0031076B" w:rsidRDefault="00C947F0" w:rsidP="00053AD8">
      <w:pPr>
        <w:pStyle w:val="BodyText"/>
        <w:numPr>
          <w:ilvl w:val="0"/>
          <w:numId w:val="31"/>
        </w:numPr>
        <w:rPr>
          <w:rFonts w:ascii="Calibri" w:hAnsi="Calibri"/>
          <w:bCs/>
          <w:sz w:val="22"/>
          <w:szCs w:val="22"/>
        </w:rPr>
      </w:pPr>
      <w:r w:rsidRPr="0031076B">
        <w:rPr>
          <w:rFonts w:ascii="Calibri" w:hAnsi="Calibri"/>
          <w:bCs/>
          <w:sz w:val="22"/>
          <w:szCs w:val="22"/>
        </w:rPr>
        <w:t xml:space="preserve">Institutional Officials (IO): </w:t>
      </w:r>
    </w:p>
    <w:p w:rsidR="00C947F0" w:rsidRPr="0031076B" w:rsidRDefault="00C947F0" w:rsidP="00053AD8">
      <w:pPr>
        <w:pStyle w:val="BodyText"/>
        <w:numPr>
          <w:ilvl w:val="1"/>
          <w:numId w:val="31"/>
        </w:numPr>
        <w:rPr>
          <w:rFonts w:ascii="Calibri" w:hAnsi="Calibri"/>
          <w:bCs/>
          <w:sz w:val="22"/>
          <w:szCs w:val="22"/>
        </w:rPr>
      </w:pPr>
      <w:r w:rsidRPr="0031076B">
        <w:rPr>
          <w:rFonts w:ascii="Calibri" w:hAnsi="Calibri"/>
          <w:bCs/>
          <w:sz w:val="22"/>
          <w:szCs w:val="22"/>
        </w:rPr>
        <w:t xml:space="preserve">IO for UTHSC-H for all research under CPHS jurisdiction. </w:t>
      </w:r>
    </w:p>
    <w:p w:rsidR="00C947F0" w:rsidRPr="0031076B" w:rsidRDefault="00C947F0" w:rsidP="00053AD8">
      <w:pPr>
        <w:pStyle w:val="BodyText"/>
        <w:numPr>
          <w:ilvl w:val="1"/>
          <w:numId w:val="31"/>
        </w:numPr>
        <w:rPr>
          <w:rFonts w:ascii="Calibri" w:hAnsi="Calibri"/>
          <w:bCs/>
          <w:sz w:val="22"/>
          <w:szCs w:val="22"/>
        </w:rPr>
      </w:pPr>
      <w:r w:rsidRPr="0031076B">
        <w:rPr>
          <w:rFonts w:ascii="Calibri" w:hAnsi="Calibri"/>
          <w:bCs/>
          <w:sz w:val="22"/>
          <w:szCs w:val="22"/>
        </w:rPr>
        <w:t>IO for Memorial Herman</w:t>
      </w:r>
      <w:r w:rsidR="00095CA7" w:rsidRPr="0031076B">
        <w:rPr>
          <w:rFonts w:ascii="Calibri" w:hAnsi="Calibri"/>
          <w:bCs/>
          <w:sz w:val="22"/>
          <w:szCs w:val="22"/>
        </w:rPr>
        <w:t xml:space="preserve">n </w:t>
      </w:r>
      <w:r w:rsidRPr="0031076B">
        <w:rPr>
          <w:rFonts w:ascii="Calibri" w:hAnsi="Calibri"/>
          <w:bCs/>
          <w:sz w:val="22"/>
          <w:szCs w:val="22"/>
        </w:rPr>
        <w:t>Hospital System for all research being conducted by Memorial Herman staff or in Memorial Herman</w:t>
      </w:r>
      <w:r w:rsidR="00095CA7" w:rsidRPr="0031076B">
        <w:rPr>
          <w:rFonts w:ascii="Calibri" w:hAnsi="Calibri"/>
          <w:bCs/>
          <w:sz w:val="22"/>
          <w:szCs w:val="22"/>
        </w:rPr>
        <w:t>n</w:t>
      </w:r>
      <w:r w:rsidRPr="0031076B">
        <w:rPr>
          <w:rFonts w:ascii="Calibri" w:hAnsi="Calibri"/>
          <w:bCs/>
          <w:sz w:val="22"/>
          <w:szCs w:val="22"/>
        </w:rPr>
        <w:t xml:space="preserve"> facilities.</w:t>
      </w:r>
    </w:p>
    <w:p w:rsidR="00C947F0" w:rsidRPr="0031076B" w:rsidRDefault="00C947F0" w:rsidP="00053AD8">
      <w:pPr>
        <w:pStyle w:val="BodyText"/>
        <w:numPr>
          <w:ilvl w:val="1"/>
          <w:numId w:val="31"/>
        </w:numPr>
        <w:rPr>
          <w:rFonts w:ascii="Calibri" w:hAnsi="Calibri"/>
          <w:bCs/>
          <w:sz w:val="22"/>
          <w:szCs w:val="22"/>
        </w:rPr>
      </w:pPr>
      <w:r w:rsidRPr="0031076B">
        <w:rPr>
          <w:rFonts w:ascii="Calibri" w:hAnsi="Calibri"/>
          <w:bCs/>
          <w:sz w:val="22"/>
          <w:szCs w:val="22"/>
        </w:rPr>
        <w:lastRenderedPageBreak/>
        <w:t xml:space="preserve">IO for Harris County Hospital District for all research being conducted by HCHD staff or in HCHD facilities. </w:t>
      </w:r>
    </w:p>
    <w:p w:rsidR="00C947F0" w:rsidRPr="0031076B" w:rsidRDefault="00C947F0" w:rsidP="00053AD8">
      <w:pPr>
        <w:pStyle w:val="BodyText"/>
        <w:numPr>
          <w:ilvl w:val="0"/>
          <w:numId w:val="31"/>
        </w:numPr>
        <w:rPr>
          <w:rFonts w:ascii="Calibri" w:hAnsi="Calibri"/>
          <w:bCs/>
          <w:sz w:val="22"/>
          <w:szCs w:val="22"/>
        </w:rPr>
      </w:pPr>
      <w:r w:rsidRPr="0031076B">
        <w:rPr>
          <w:rFonts w:ascii="Calibri" w:hAnsi="Calibri"/>
          <w:bCs/>
          <w:sz w:val="22"/>
          <w:szCs w:val="22"/>
        </w:rPr>
        <w:t>Institutional Compliance</w:t>
      </w:r>
    </w:p>
    <w:p w:rsidR="00C947F0" w:rsidRPr="0031076B" w:rsidRDefault="00C947F0" w:rsidP="00053AD8">
      <w:pPr>
        <w:pStyle w:val="BodyText"/>
        <w:numPr>
          <w:ilvl w:val="0"/>
          <w:numId w:val="31"/>
        </w:numPr>
        <w:rPr>
          <w:rFonts w:ascii="Calibri" w:hAnsi="Calibri"/>
          <w:bCs/>
          <w:sz w:val="22"/>
          <w:szCs w:val="22"/>
        </w:rPr>
      </w:pPr>
      <w:r w:rsidRPr="0031076B">
        <w:rPr>
          <w:rFonts w:ascii="Calibri" w:hAnsi="Calibri"/>
          <w:bCs/>
          <w:sz w:val="22"/>
          <w:szCs w:val="22"/>
        </w:rPr>
        <w:t>Committee for Protection of Human Subjects</w:t>
      </w:r>
    </w:p>
    <w:p w:rsidR="00C947F0" w:rsidRPr="0031076B" w:rsidRDefault="00C947F0" w:rsidP="00053AD8">
      <w:pPr>
        <w:pStyle w:val="BodyText"/>
        <w:numPr>
          <w:ilvl w:val="0"/>
          <w:numId w:val="31"/>
        </w:numPr>
        <w:rPr>
          <w:rFonts w:ascii="Calibri" w:hAnsi="Calibri"/>
          <w:bCs/>
          <w:sz w:val="22"/>
          <w:szCs w:val="22"/>
        </w:rPr>
      </w:pPr>
      <w:r w:rsidRPr="0031076B">
        <w:rPr>
          <w:rFonts w:ascii="Calibri" w:hAnsi="Calibri"/>
          <w:bCs/>
          <w:sz w:val="22"/>
          <w:szCs w:val="22"/>
        </w:rPr>
        <w:t>Clinical Trials Resource Center</w:t>
      </w:r>
    </w:p>
    <w:p w:rsidR="00815624" w:rsidRPr="0031076B" w:rsidRDefault="00815624" w:rsidP="00AD1DB4">
      <w:pPr>
        <w:pStyle w:val="BodyText"/>
        <w:ind w:left="720"/>
        <w:rPr>
          <w:rFonts w:ascii="Calibri" w:hAnsi="Calibri"/>
          <w:bCs/>
          <w:sz w:val="22"/>
          <w:szCs w:val="22"/>
        </w:rPr>
      </w:pPr>
    </w:p>
    <w:p w:rsidR="00822231" w:rsidRPr="0031076B" w:rsidRDefault="00822231" w:rsidP="00AD1DB4">
      <w:pPr>
        <w:rPr>
          <w:rFonts w:ascii="Calibri" w:hAnsi="Calibri"/>
          <w:sz w:val="22"/>
          <w:szCs w:val="22"/>
        </w:rPr>
      </w:pPr>
    </w:p>
    <w:p w:rsidR="000F253A" w:rsidRPr="0031076B" w:rsidRDefault="00053AD8" w:rsidP="00AD1DB4">
      <w:pPr>
        <w:rPr>
          <w:rFonts w:ascii="Calibri" w:hAnsi="Calibri"/>
          <w:b/>
          <w:sz w:val="22"/>
          <w:szCs w:val="22"/>
        </w:rPr>
      </w:pPr>
      <w:r>
        <w:rPr>
          <w:rFonts w:ascii="Calibri" w:hAnsi="Calibri"/>
          <w:b/>
          <w:sz w:val="22"/>
          <w:szCs w:val="22"/>
        </w:rPr>
        <w:t>Applicable Regulations and Guidance Documents</w:t>
      </w:r>
    </w:p>
    <w:p w:rsidR="00E05570" w:rsidRPr="0031076B" w:rsidRDefault="00E05570" w:rsidP="00053AD8">
      <w:pPr>
        <w:numPr>
          <w:ilvl w:val="0"/>
          <w:numId w:val="34"/>
        </w:numPr>
        <w:rPr>
          <w:rFonts w:ascii="Calibri" w:hAnsi="Calibri"/>
          <w:sz w:val="22"/>
          <w:szCs w:val="22"/>
        </w:rPr>
      </w:pPr>
      <w:r w:rsidRPr="0031076B">
        <w:rPr>
          <w:rFonts w:ascii="Calibri" w:hAnsi="Calibri"/>
          <w:sz w:val="22"/>
          <w:szCs w:val="22"/>
        </w:rPr>
        <w:t>Regulations</w:t>
      </w:r>
    </w:p>
    <w:p w:rsidR="00A872A2" w:rsidRPr="0031076B" w:rsidRDefault="00A872A2" w:rsidP="00AD1DB4">
      <w:pPr>
        <w:rPr>
          <w:rFonts w:ascii="Calibri" w:hAnsi="Calibri"/>
          <w:sz w:val="22"/>
          <w:szCs w:val="22"/>
        </w:rPr>
      </w:pPr>
    </w:p>
    <w:p w:rsidR="00A872A2" w:rsidRPr="0031076B" w:rsidRDefault="00053AD8" w:rsidP="00AD1DB4">
      <w:pPr>
        <w:rPr>
          <w:rFonts w:ascii="Calibri" w:hAnsi="Calibri"/>
          <w:b/>
          <w:sz w:val="22"/>
          <w:szCs w:val="22"/>
        </w:rPr>
      </w:pPr>
      <w:r>
        <w:rPr>
          <w:rFonts w:ascii="Calibri" w:hAnsi="Calibri"/>
          <w:b/>
          <w:sz w:val="22"/>
          <w:szCs w:val="22"/>
        </w:rPr>
        <w:t>Applicable Institutional Policies and Procedures</w:t>
      </w:r>
    </w:p>
    <w:p w:rsidR="00A872A2" w:rsidRPr="0031076B" w:rsidRDefault="00676362" w:rsidP="00053AD8">
      <w:pPr>
        <w:numPr>
          <w:ilvl w:val="0"/>
          <w:numId w:val="33"/>
        </w:numPr>
        <w:rPr>
          <w:rFonts w:ascii="Calibri" w:hAnsi="Calibri"/>
          <w:sz w:val="22"/>
          <w:szCs w:val="22"/>
        </w:rPr>
      </w:pPr>
      <w:r w:rsidRPr="0031076B">
        <w:rPr>
          <w:rFonts w:ascii="Calibri" w:hAnsi="Calibri"/>
          <w:sz w:val="22"/>
          <w:szCs w:val="22"/>
        </w:rPr>
        <w:t>List all applicable SOPs – including HOOP</w:t>
      </w:r>
      <w:r w:rsidR="003C4BFA" w:rsidRPr="0031076B">
        <w:rPr>
          <w:rFonts w:ascii="Calibri" w:hAnsi="Calibri"/>
          <w:sz w:val="22"/>
          <w:szCs w:val="22"/>
        </w:rPr>
        <w:t>.</w:t>
      </w:r>
    </w:p>
    <w:p w:rsidR="00A872A2" w:rsidRPr="0031076B" w:rsidRDefault="00A872A2" w:rsidP="00AD1DB4">
      <w:pPr>
        <w:rPr>
          <w:rFonts w:ascii="Calibri" w:hAnsi="Calibri"/>
          <w:sz w:val="22"/>
          <w:szCs w:val="22"/>
        </w:rPr>
      </w:pPr>
    </w:p>
    <w:p w:rsidR="00A872A2" w:rsidRPr="0031076B" w:rsidRDefault="00053AD8" w:rsidP="00AD1DB4">
      <w:pPr>
        <w:rPr>
          <w:rFonts w:ascii="Calibri" w:hAnsi="Calibri"/>
          <w:b/>
          <w:sz w:val="22"/>
          <w:szCs w:val="22"/>
        </w:rPr>
      </w:pPr>
      <w:r>
        <w:rPr>
          <w:rFonts w:ascii="Calibri" w:hAnsi="Calibri"/>
          <w:b/>
          <w:sz w:val="22"/>
          <w:szCs w:val="22"/>
        </w:rPr>
        <w:t>Attachments</w:t>
      </w:r>
    </w:p>
    <w:p w:rsidR="002C5A0A" w:rsidRPr="0031076B" w:rsidRDefault="00A31645" w:rsidP="00053AD8">
      <w:pPr>
        <w:numPr>
          <w:ilvl w:val="0"/>
          <w:numId w:val="32"/>
        </w:numPr>
        <w:rPr>
          <w:rFonts w:ascii="Calibri" w:hAnsi="Calibri"/>
          <w:sz w:val="22"/>
          <w:szCs w:val="22"/>
        </w:rPr>
      </w:pPr>
      <w:r>
        <w:rPr>
          <w:rFonts w:ascii="Calibri" w:hAnsi="Calibri"/>
          <w:sz w:val="22"/>
          <w:szCs w:val="22"/>
        </w:rPr>
        <w:t xml:space="preserve">FDA </w:t>
      </w:r>
      <w:r w:rsidR="002C5A0A" w:rsidRPr="0031076B">
        <w:rPr>
          <w:rFonts w:ascii="Calibri" w:hAnsi="Calibri"/>
          <w:sz w:val="22"/>
          <w:szCs w:val="22"/>
        </w:rPr>
        <w:t>Inspection Information</w:t>
      </w:r>
    </w:p>
    <w:p w:rsidR="00A31645" w:rsidRDefault="00A31645" w:rsidP="00053AD8">
      <w:pPr>
        <w:numPr>
          <w:ilvl w:val="0"/>
          <w:numId w:val="32"/>
        </w:numPr>
        <w:rPr>
          <w:rFonts w:ascii="Calibri" w:hAnsi="Calibri"/>
          <w:sz w:val="22"/>
          <w:szCs w:val="22"/>
        </w:rPr>
      </w:pPr>
      <w:r>
        <w:rPr>
          <w:rFonts w:ascii="Calibri" w:hAnsi="Calibri"/>
          <w:sz w:val="22"/>
          <w:szCs w:val="22"/>
        </w:rPr>
        <w:t>FDA Inspection General Guidance</w:t>
      </w:r>
    </w:p>
    <w:p w:rsidR="00A31645" w:rsidRDefault="00A31645" w:rsidP="00053AD8">
      <w:pPr>
        <w:numPr>
          <w:ilvl w:val="0"/>
          <w:numId w:val="32"/>
        </w:numPr>
        <w:rPr>
          <w:rFonts w:ascii="Calibri" w:hAnsi="Calibri"/>
          <w:sz w:val="22"/>
          <w:szCs w:val="22"/>
        </w:rPr>
      </w:pPr>
      <w:r>
        <w:rPr>
          <w:rFonts w:ascii="Calibri" w:hAnsi="Calibri"/>
          <w:sz w:val="22"/>
          <w:szCs w:val="22"/>
        </w:rPr>
        <w:t>FDA Pre-Inspection Checklist</w:t>
      </w:r>
    </w:p>
    <w:p w:rsidR="00A31645" w:rsidRPr="0031076B" w:rsidRDefault="00A31645" w:rsidP="00053AD8">
      <w:pPr>
        <w:numPr>
          <w:ilvl w:val="0"/>
          <w:numId w:val="32"/>
        </w:numPr>
        <w:rPr>
          <w:rFonts w:ascii="Calibri" w:hAnsi="Calibri"/>
          <w:sz w:val="22"/>
          <w:szCs w:val="22"/>
        </w:rPr>
      </w:pPr>
      <w:r>
        <w:rPr>
          <w:rFonts w:ascii="Calibri" w:hAnsi="Calibri"/>
          <w:sz w:val="22"/>
          <w:szCs w:val="22"/>
        </w:rPr>
        <w:t>FDA Inspection Reporting</w:t>
      </w:r>
    </w:p>
    <w:p w:rsidR="00A872A2" w:rsidRDefault="00A872A2" w:rsidP="00AD1DB4">
      <w:pPr>
        <w:rPr>
          <w:rFonts w:ascii="Calibri" w:hAnsi="Calibri"/>
          <w:sz w:val="22"/>
          <w:szCs w:val="22"/>
        </w:rPr>
      </w:pPr>
    </w:p>
    <w:p w:rsidR="00053AD8" w:rsidRPr="0078442A" w:rsidRDefault="00053AD8" w:rsidP="00053AD8">
      <w:pPr>
        <w:keepNext/>
        <w:keepLines/>
        <w:spacing w:line="276" w:lineRule="auto"/>
        <w:outlineLvl w:val="1"/>
        <w:rPr>
          <w:rFonts w:ascii="Calibri" w:hAnsi="Calibri" w:cs="Arial"/>
          <w:b/>
          <w:bCs/>
          <w:color w:val="000000"/>
          <w:sz w:val="22"/>
          <w:szCs w:val="22"/>
        </w:rPr>
      </w:pPr>
    </w:p>
    <w:p w:rsidR="00053AD8" w:rsidRPr="0078442A" w:rsidRDefault="00053AD8" w:rsidP="00053AD8">
      <w:pPr>
        <w:keepNext/>
        <w:keepLines/>
        <w:pBdr>
          <w:top w:val="single" w:sz="4" w:space="1" w:color="auto"/>
        </w:pBdr>
        <w:spacing w:line="276" w:lineRule="auto"/>
        <w:outlineLvl w:val="1"/>
        <w:rPr>
          <w:rFonts w:ascii="Calibri" w:hAnsi="Calibri" w:cs="Arial"/>
          <w:b/>
          <w:bCs/>
          <w:color w:val="000000"/>
          <w:sz w:val="22"/>
          <w:szCs w:val="22"/>
        </w:rPr>
      </w:pPr>
    </w:p>
    <w:p w:rsidR="00053AD8" w:rsidRPr="0078442A" w:rsidRDefault="00053AD8" w:rsidP="00053AD8">
      <w:pPr>
        <w:keepNext/>
        <w:keepLines/>
        <w:spacing w:line="276" w:lineRule="auto"/>
        <w:outlineLvl w:val="1"/>
        <w:rPr>
          <w:rFonts w:ascii="Calibri" w:hAnsi="Calibri" w:cs="Arial"/>
          <w:b/>
          <w:bCs/>
          <w:color w:val="000000"/>
          <w:sz w:val="22"/>
          <w:szCs w:val="22"/>
        </w:rPr>
      </w:pPr>
      <w:r w:rsidRPr="0078442A">
        <w:rPr>
          <w:rFonts w:ascii="Calibri" w:hAnsi="Calibri" w:cs="Arial"/>
          <w:b/>
          <w:bCs/>
          <w:color w:val="000000"/>
          <w:sz w:val="22"/>
          <w:szCs w:val="22"/>
        </w:rPr>
        <w:t xml:space="preserve">If you find errors in this document, contact </w:t>
      </w:r>
      <w:hyperlink r:id="rId6" w:history="1">
        <w:r w:rsidRPr="0078442A">
          <w:rPr>
            <w:rStyle w:val="Hyperlink"/>
            <w:rFonts w:ascii="Calibri" w:hAnsi="Calibri" w:cs="Arial"/>
            <w:b/>
            <w:bCs/>
            <w:color w:val="000000"/>
            <w:sz w:val="22"/>
            <w:szCs w:val="22"/>
          </w:rPr>
          <w:t>clinicaltrials@uth.tmc.edu</w:t>
        </w:r>
      </w:hyperlink>
    </w:p>
    <w:p w:rsidR="00053AD8" w:rsidRPr="0078442A" w:rsidRDefault="00053AD8" w:rsidP="00053AD8">
      <w:pPr>
        <w:keepNext/>
        <w:keepLines/>
        <w:spacing w:line="276" w:lineRule="auto"/>
        <w:outlineLvl w:val="1"/>
        <w:rPr>
          <w:rFonts w:ascii="Calibri" w:hAnsi="Calibri" w:cs="Arial"/>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7200"/>
      </w:tblGrid>
      <w:tr w:rsidR="00053AD8" w:rsidRPr="0078442A" w:rsidTr="00053AD8">
        <w:tc>
          <w:tcPr>
            <w:tcW w:w="2268" w:type="dxa"/>
            <w:vAlign w:val="center"/>
          </w:tcPr>
          <w:p w:rsidR="00053AD8" w:rsidRPr="00053AD8" w:rsidRDefault="00053AD8" w:rsidP="00053AD8">
            <w:pPr>
              <w:keepNext/>
              <w:keepLines/>
              <w:spacing w:line="276" w:lineRule="auto"/>
              <w:outlineLvl w:val="1"/>
              <w:rPr>
                <w:rFonts w:ascii="Calibri" w:hAnsi="Calibri" w:cs="Arial"/>
                <w:b/>
                <w:bCs/>
                <w:color w:val="000000"/>
                <w:sz w:val="22"/>
                <w:szCs w:val="22"/>
              </w:rPr>
            </w:pPr>
            <w:r w:rsidRPr="00053AD8">
              <w:rPr>
                <w:rFonts w:ascii="Calibri" w:hAnsi="Calibri" w:cs="Arial"/>
                <w:b/>
                <w:bCs/>
                <w:color w:val="000000"/>
                <w:sz w:val="22"/>
                <w:szCs w:val="22"/>
              </w:rPr>
              <w:t>Document Number:</w:t>
            </w:r>
          </w:p>
        </w:tc>
        <w:tc>
          <w:tcPr>
            <w:tcW w:w="7200" w:type="dxa"/>
            <w:vAlign w:val="center"/>
          </w:tcPr>
          <w:p w:rsidR="00053AD8" w:rsidRPr="00053AD8" w:rsidRDefault="00FC4711" w:rsidP="00053AD8">
            <w:pPr>
              <w:keepNext/>
              <w:keepLines/>
              <w:spacing w:line="276" w:lineRule="auto"/>
              <w:outlineLvl w:val="1"/>
              <w:rPr>
                <w:rFonts w:ascii="Calibri" w:hAnsi="Calibri" w:cs="Arial"/>
                <w:bCs/>
                <w:color w:val="000000"/>
                <w:sz w:val="22"/>
                <w:szCs w:val="22"/>
              </w:rPr>
            </w:pPr>
            <w:r>
              <w:rPr>
                <w:rFonts w:ascii="Calibri" w:hAnsi="Calibri" w:cs="Arial"/>
                <w:bCs/>
                <w:color w:val="000000"/>
                <w:sz w:val="22"/>
                <w:szCs w:val="22"/>
              </w:rPr>
              <w:t>402-012</w:t>
            </w:r>
          </w:p>
        </w:tc>
      </w:tr>
      <w:tr w:rsidR="00053AD8" w:rsidRPr="0078442A" w:rsidTr="00053AD8">
        <w:tc>
          <w:tcPr>
            <w:tcW w:w="2268" w:type="dxa"/>
            <w:vAlign w:val="center"/>
          </w:tcPr>
          <w:p w:rsidR="00053AD8" w:rsidRPr="00053AD8" w:rsidRDefault="00053AD8" w:rsidP="00053AD8">
            <w:pPr>
              <w:keepNext/>
              <w:keepLines/>
              <w:spacing w:line="276" w:lineRule="auto"/>
              <w:outlineLvl w:val="1"/>
              <w:rPr>
                <w:rFonts w:ascii="Calibri" w:hAnsi="Calibri" w:cs="Arial"/>
                <w:b/>
                <w:bCs/>
                <w:color w:val="000000"/>
                <w:sz w:val="22"/>
                <w:szCs w:val="22"/>
              </w:rPr>
            </w:pPr>
            <w:r w:rsidRPr="00053AD8">
              <w:rPr>
                <w:rFonts w:ascii="Calibri" w:hAnsi="Calibri" w:cs="Arial"/>
                <w:b/>
                <w:bCs/>
                <w:color w:val="000000"/>
                <w:sz w:val="22"/>
                <w:szCs w:val="22"/>
              </w:rPr>
              <w:t>Author:</w:t>
            </w:r>
          </w:p>
        </w:tc>
        <w:tc>
          <w:tcPr>
            <w:tcW w:w="7200" w:type="dxa"/>
            <w:vAlign w:val="center"/>
          </w:tcPr>
          <w:p w:rsidR="00053AD8" w:rsidRPr="00053AD8" w:rsidRDefault="00053AD8" w:rsidP="00053AD8">
            <w:pPr>
              <w:keepNext/>
              <w:keepLines/>
              <w:spacing w:line="276" w:lineRule="auto"/>
              <w:outlineLvl w:val="1"/>
              <w:rPr>
                <w:rFonts w:ascii="Calibri" w:hAnsi="Calibri" w:cs="Arial"/>
                <w:bCs/>
                <w:color w:val="000000"/>
                <w:sz w:val="22"/>
                <w:szCs w:val="22"/>
              </w:rPr>
            </w:pPr>
            <w:r w:rsidRPr="00053AD8">
              <w:rPr>
                <w:rFonts w:ascii="Calibri" w:hAnsi="Calibri" w:cs="Arial"/>
                <w:bCs/>
                <w:color w:val="000000"/>
                <w:sz w:val="22"/>
                <w:szCs w:val="22"/>
              </w:rPr>
              <w:t>Clinical Trials Resource Center</w:t>
            </w:r>
          </w:p>
        </w:tc>
      </w:tr>
      <w:tr w:rsidR="00053AD8" w:rsidRPr="0078442A" w:rsidTr="00053AD8">
        <w:tc>
          <w:tcPr>
            <w:tcW w:w="2268" w:type="dxa"/>
            <w:vAlign w:val="center"/>
          </w:tcPr>
          <w:p w:rsidR="00053AD8" w:rsidRPr="00053AD8" w:rsidRDefault="00053AD8" w:rsidP="00053AD8">
            <w:pPr>
              <w:keepNext/>
              <w:keepLines/>
              <w:spacing w:line="276" w:lineRule="auto"/>
              <w:outlineLvl w:val="1"/>
              <w:rPr>
                <w:rFonts w:ascii="Calibri" w:hAnsi="Calibri" w:cs="Arial"/>
                <w:b/>
                <w:bCs/>
                <w:color w:val="000000"/>
                <w:sz w:val="22"/>
                <w:szCs w:val="22"/>
              </w:rPr>
            </w:pPr>
            <w:r w:rsidRPr="00053AD8">
              <w:rPr>
                <w:rFonts w:ascii="Calibri" w:hAnsi="Calibri" w:cs="Arial"/>
                <w:b/>
                <w:bCs/>
                <w:color w:val="000000"/>
                <w:sz w:val="22"/>
                <w:szCs w:val="22"/>
              </w:rPr>
              <w:t>Effective:</w:t>
            </w:r>
          </w:p>
        </w:tc>
        <w:tc>
          <w:tcPr>
            <w:tcW w:w="7200" w:type="dxa"/>
            <w:vAlign w:val="center"/>
          </w:tcPr>
          <w:p w:rsidR="00053AD8" w:rsidRPr="00053AD8" w:rsidRDefault="00FC4711" w:rsidP="00053AD8">
            <w:pPr>
              <w:keepNext/>
              <w:keepLines/>
              <w:spacing w:line="276" w:lineRule="auto"/>
              <w:outlineLvl w:val="1"/>
              <w:rPr>
                <w:rFonts w:ascii="Calibri" w:hAnsi="Calibri" w:cs="Arial"/>
                <w:bCs/>
                <w:color w:val="000000"/>
                <w:sz w:val="22"/>
                <w:szCs w:val="22"/>
              </w:rPr>
            </w:pPr>
            <w:r>
              <w:rPr>
                <w:rFonts w:ascii="Calibri" w:hAnsi="Calibri" w:cs="Arial"/>
                <w:bCs/>
                <w:color w:val="000000"/>
                <w:sz w:val="22"/>
                <w:szCs w:val="22"/>
              </w:rPr>
              <w:t>June 1, 2011</w:t>
            </w:r>
          </w:p>
        </w:tc>
      </w:tr>
      <w:tr w:rsidR="00053AD8" w:rsidRPr="0078442A" w:rsidTr="00053AD8">
        <w:tc>
          <w:tcPr>
            <w:tcW w:w="2268" w:type="dxa"/>
            <w:vAlign w:val="center"/>
          </w:tcPr>
          <w:p w:rsidR="00053AD8" w:rsidRPr="00053AD8" w:rsidRDefault="00053AD8" w:rsidP="00053AD8">
            <w:pPr>
              <w:keepNext/>
              <w:keepLines/>
              <w:spacing w:line="276" w:lineRule="auto"/>
              <w:outlineLvl w:val="1"/>
              <w:rPr>
                <w:rFonts w:ascii="Calibri" w:hAnsi="Calibri" w:cs="Arial"/>
                <w:b/>
                <w:bCs/>
                <w:color w:val="000000"/>
                <w:sz w:val="22"/>
                <w:szCs w:val="22"/>
              </w:rPr>
            </w:pPr>
            <w:r w:rsidRPr="00053AD8">
              <w:rPr>
                <w:rFonts w:ascii="Calibri" w:hAnsi="Calibri" w:cs="Arial"/>
                <w:b/>
                <w:bCs/>
                <w:color w:val="000000"/>
                <w:sz w:val="22"/>
                <w:szCs w:val="22"/>
              </w:rPr>
              <w:t>Revision History:</w:t>
            </w:r>
          </w:p>
        </w:tc>
        <w:tc>
          <w:tcPr>
            <w:tcW w:w="7200" w:type="dxa"/>
            <w:vAlign w:val="center"/>
          </w:tcPr>
          <w:p w:rsidR="00053AD8" w:rsidRPr="00053AD8" w:rsidRDefault="00053AD8" w:rsidP="00053AD8">
            <w:pPr>
              <w:keepNext/>
              <w:keepLines/>
              <w:spacing w:line="276" w:lineRule="auto"/>
              <w:outlineLvl w:val="1"/>
              <w:rPr>
                <w:rFonts w:ascii="Calibri" w:hAnsi="Calibri" w:cs="Arial"/>
                <w:bCs/>
                <w:color w:val="000000"/>
                <w:sz w:val="22"/>
                <w:szCs w:val="22"/>
              </w:rPr>
            </w:pPr>
            <w:r w:rsidRPr="00053AD8">
              <w:rPr>
                <w:rFonts w:ascii="Calibri" w:hAnsi="Calibri" w:cs="Arial"/>
                <w:bCs/>
                <w:color w:val="000000"/>
                <w:sz w:val="22"/>
                <w:szCs w:val="22"/>
              </w:rPr>
              <w:t>None</w:t>
            </w:r>
          </w:p>
        </w:tc>
      </w:tr>
      <w:tr w:rsidR="00053AD8" w:rsidRPr="0078442A" w:rsidTr="00053AD8">
        <w:tc>
          <w:tcPr>
            <w:tcW w:w="2268" w:type="dxa"/>
            <w:vAlign w:val="center"/>
          </w:tcPr>
          <w:p w:rsidR="00053AD8" w:rsidRPr="00053AD8" w:rsidRDefault="00053AD8" w:rsidP="00053AD8">
            <w:pPr>
              <w:keepNext/>
              <w:keepLines/>
              <w:spacing w:line="276" w:lineRule="auto"/>
              <w:outlineLvl w:val="1"/>
              <w:rPr>
                <w:rFonts w:ascii="Calibri" w:hAnsi="Calibri" w:cs="Arial"/>
                <w:b/>
                <w:bCs/>
                <w:color w:val="000000"/>
                <w:sz w:val="22"/>
                <w:szCs w:val="22"/>
              </w:rPr>
            </w:pPr>
          </w:p>
        </w:tc>
        <w:tc>
          <w:tcPr>
            <w:tcW w:w="7200" w:type="dxa"/>
            <w:vAlign w:val="center"/>
          </w:tcPr>
          <w:p w:rsidR="00053AD8" w:rsidRPr="00053AD8" w:rsidRDefault="00053AD8" w:rsidP="00053AD8">
            <w:pPr>
              <w:keepNext/>
              <w:keepLines/>
              <w:spacing w:line="276" w:lineRule="auto"/>
              <w:outlineLvl w:val="1"/>
              <w:rPr>
                <w:rFonts w:ascii="Calibri" w:hAnsi="Calibri" w:cs="Arial"/>
                <w:b/>
                <w:bCs/>
                <w:color w:val="000000"/>
                <w:sz w:val="22"/>
                <w:szCs w:val="22"/>
              </w:rPr>
            </w:pPr>
          </w:p>
        </w:tc>
      </w:tr>
      <w:tr w:rsidR="00053AD8" w:rsidRPr="0078442A" w:rsidTr="00053AD8">
        <w:tc>
          <w:tcPr>
            <w:tcW w:w="2268" w:type="dxa"/>
            <w:vAlign w:val="center"/>
          </w:tcPr>
          <w:p w:rsidR="00053AD8" w:rsidRPr="00053AD8" w:rsidRDefault="00053AD8" w:rsidP="00053AD8">
            <w:pPr>
              <w:keepNext/>
              <w:keepLines/>
              <w:spacing w:line="276" w:lineRule="auto"/>
              <w:outlineLvl w:val="1"/>
              <w:rPr>
                <w:rFonts w:ascii="Calibri" w:hAnsi="Calibri" w:cs="Arial"/>
                <w:b/>
                <w:bCs/>
                <w:color w:val="000000"/>
                <w:sz w:val="22"/>
                <w:szCs w:val="22"/>
              </w:rPr>
            </w:pPr>
          </w:p>
        </w:tc>
        <w:tc>
          <w:tcPr>
            <w:tcW w:w="7200" w:type="dxa"/>
            <w:vAlign w:val="center"/>
          </w:tcPr>
          <w:p w:rsidR="00053AD8" w:rsidRPr="00053AD8" w:rsidRDefault="00053AD8" w:rsidP="00053AD8">
            <w:pPr>
              <w:keepNext/>
              <w:keepLines/>
              <w:spacing w:line="276" w:lineRule="auto"/>
              <w:outlineLvl w:val="1"/>
              <w:rPr>
                <w:rFonts w:ascii="Calibri" w:hAnsi="Calibri" w:cs="Arial"/>
                <w:b/>
                <w:bCs/>
                <w:color w:val="000000"/>
                <w:sz w:val="22"/>
                <w:szCs w:val="22"/>
              </w:rPr>
            </w:pPr>
          </w:p>
        </w:tc>
      </w:tr>
    </w:tbl>
    <w:p w:rsidR="00053AD8" w:rsidRPr="0078442A" w:rsidRDefault="00053AD8" w:rsidP="00053AD8">
      <w:pPr>
        <w:keepNext/>
        <w:keepLines/>
        <w:spacing w:line="276" w:lineRule="auto"/>
        <w:outlineLvl w:val="1"/>
        <w:rPr>
          <w:rFonts w:ascii="Calibri" w:hAnsi="Calibri" w:cs="Arial"/>
          <w:b/>
          <w:bCs/>
          <w:color w:val="000000"/>
          <w:sz w:val="22"/>
          <w:szCs w:val="22"/>
        </w:rPr>
      </w:pPr>
    </w:p>
    <w:p w:rsidR="00053AD8" w:rsidRPr="0078442A" w:rsidRDefault="00053AD8" w:rsidP="00053AD8">
      <w:pPr>
        <w:keepNext/>
        <w:keepLines/>
        <w:spacing w:line="276" w:lineRule="auto"/>
        <w:outlineLvl w:val="1"/>
        <w:rPr>
          <w:rFonts w:ascii="Calibri" w:hAnsi="Calibri" w:cs="Arial"/>
          <w:b/>
          <w:bCs/>
          <w:color w:val="000000"/>
          <w:sz w:val="22"/>
          <w:szCs w:val="22"/>
        </w:rPr>
      </w:pPr>
    </w:p>
    <w:p w:rsidR="00053AD8" w:rsidRPr="0031076B" w:rsidRDefault="00053AD8" w:rsidP="00AD1DB4">
      <w:pPr>
        <w:rPr>
          <w:rFonts w:ascii="Calibri" w:hAnsi="Calibri"/>
          <w:sz w:val="22"/>
          <w:szCs w:val="22"/>
        </w:rPr>
      </w:pPr>
    </w:p>
    <w:sectPr w:rsidR="00053AD8" w:rsidRPr="0031076B" w:rsidSect="00742C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690EEB"/>
    <w:multiLevelType w:val="multilevel"/>
    <w:tmpl w:val="C898111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504"/>
        </w:tabs>
        <w:ind w:left="1080" w:hanging="576"/>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36F7166"/>
    <w:multiLevelType w:val="hybridMultilevel"/>
    <w:tmpl w:val="3AC652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3767E0E"/>
    <w:multiLevelType w:val="multilevel"/>
    <w:tmpl w:val="2AE4DB5E"/>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3607A9B"/>
    <w:multiLevelType w:val="hybridMultilevel"/>
    <w:tmpl w:val="F6061060"/>
    <w:lvl w:ilvl="0" w:tplc="0409000F">
      <w:start w:val="1"/>
      <w:numFmt w:val="decimal"/>
      <w:lvlText w:val="%1."/>
      <w:lvlJc w:val="left"/>
      <w:pPr>
        <w:tabs>
          <w:tab w:val="num" w:pos="720"/>
        </w:tabs>
        <w:ind w:left="720" w:hanging="360"/>
      </w:pPr>
    </w:lvl>
    <w:lvl w:ilvl="1" w:tplc="60F86A5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1F7DE9"/>
    <w:multiLevelType w:val="multilevel"/>
    <w:tmpl w:val="BED8FAA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17955DEA"/>
    <w:multiLevelType w:val="hybridMultilevel"/>
    <w:tmpl w:val="45F416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C9771BB"/>
    <w:multiLevelType w:val="hybridMultilevel"/>
    <w:tmpl w:val="BFB621A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0A2027"/>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26F25CA0"/>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292A6E51"/>
    <w:multiLevelType w:val="singleLevel"/>
    <w:tmpl w:val="67FCC32E"/>
    <w:lvl w:ilvl="0">
      <w:start w:val="1"/>
      <w:numFmt w:val="upperLetter"/>
      <w:lvlText w:val="%1."/>
      <w:legacy w:legacy="1" w:legacySpace="0" w:legacyIndent="360"/>
      <w:lvlJc w:val="left"/>
      <w:pPr>
        <w:ind w:left="360" w:hanging="360"/>
      </w:pPr>
    </w:lvl>
  </w:abstractNum>
  <w:abstractNum w:abstractNumId="11">
    <w:nsid w:val="2BDE21F4"/>
    <w:multiLevelType w:val="multilevel"/>
    <w:tmpl w:val="199AA9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03D6161"/>
    <w:multiLevelType w:val="hybridMultilevel"/>
    <w:tmpl w:val="02282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30F71D9"/>
    <w:multiLevelType w:val="multilevel"/>
    <w:tmpl w:val="458ECBBE"/>
    <w:lvl w:ilvl="0">
      <w:start w:val="4"/>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b w:val="0"/>
        <w:i w:val="0"/>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361D22A3"/>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83517F6"/>
    <w:multiLevelType w:val="hybridMultilevel"/>
    <w:tmpl w:val="D14494BA"/>
    <w:lvl w:ilvl="0" w:tplc="0B4A96D2">
      <w:start w:val="1"/>
      <w:numFmt w:val="bullet"/>
      <w:lvlText w:val="•"/>
      <w:lvlJc w:val="left"/>
      <w:pPr>
        <w:tabs>
          <w:tab w:val="num" w:pos="720"/>
        </w:tabs>
        <w:ind w:left="720" w:hanging="360"/>
      </w:pPr>
      <w:rPr>
        <w:rFonts w:ascii="Times New Roman" w:hAnsi="Times New Roman" w:hint="default"/>
      </w:rPr>
    </w:lvl>
    <w:lvl w:ilvl="1" w:tplc="8CE6F3B8" w:tentative="1">
      <w:start w:val="1"/>
      <w:numFmt w:val="bullet"/>
      <w:lvlText w:val="•"/>
      <w:lvlJc w:val="left"/>
      <w:pPr>
        <w:tabs>
          <w:tab w:val="num" w:pos="1440"/>
        </w:tabs>
        <w:ind w:left="1440" w:hanging="360"/>
      </w:pPr>
      <w:rPr>
        <w:rFonts w:ascii="Times New Roman" w:hAnsi="Times New Roman" w:hint="default"/>
      </w:rPr>
    </w:lvl>
    <w:lvl w:ilvl="2" w:tplc="A04C19D8" w:tentative="1">
      <w:start w:val="1"/>
      <w:numFmt w:val="bullet"/>
      <w:lvlText w:val="•"/>
      <w:lvlJc w:val="left"/>
      <w:pPr>
        <w:tabs>
          <w:tab w:val="num" w:pos="2160"/>
        </w:tabs>
        <w:ind w:left="2160" w:hanging="360"/>
      </w:pPr>
      <w:rPr>
        <w:rFonts w:ascii="Times New Roman" w:hAnsi="Times New Roman" w:hint="default"/>
      </w:rPr>
    </w:lvl>
    <w:lvl w:ilvl="3" w:tplc="EB92D678" w:tentative="1">
      <w:start w:val="1"/>
      <w:numFmt w:val="bullet"/>
      <w:lvlText w:val="•"/>
      <w:lvlJc w:val="left"/>
      <w:pPr>
        <w:tabs>
          <w:tab w:val="num" w:pos="2880"/>
        </w:tabs>
        <w:ind w:left="2880" w:hanging="360"/>
      </w:pPr>
      <w:rPr>
        <w:rFonts w:ascii="Times New Roman" w:hAnsi="Times New Roman" w:hint="default"/>
      </w:rPr>
    </w:lvl>
    <w:lvl w:ilvl="4" w:tplc="583691A4" w:tentative="1">
      <w:start w:val="1"/>
      <w:numFmt w:val="bullet"/>
      <w:lvlText w:val="•"/>
      <w:lvlJc w:val="left"/>
      <w:pPr>
        <w:tabs>
          <w:tab w:val="num" w:pos="3600"/>
        </w:tabs>
        <w:ind w:left="3600" w:hanging="360"/>
      </w:pPr>
      <w:rPr>
        <w:rFonts w:ascii="Times New Roman" w:hAnsi="Times New Roman" w:hint="default"/>
      </w:rPr>
    </w:lvl>
    <w:lvl w:ilvl="5" w:tplc="D9A071BC" w:tentative="1">
      <w:start w:val="1"/>
      <w:numFmt w:val="bullet"/>
      <w:lvlText w:val="•"/>
      <w:lvlJc w:val="left"/>
      <w:pPr>
        <w:tabs>
          <w:tab w:val="num" w:pos="4320"/>
        </w:tabs>
        <w:ind w:left="4320" w:hanging="360"/>
      </w:pPr>
      <w:rPr>
        <w:rFonts w:ascii="Times New Roman" w:hAnsi="Times New Roman" w:hint="default"/>
      </w:rPr>
    </w:lvl>
    <w:lvl w:ilvl="6" w:tplc="D45E9C6A" w:tentative="1">
      <w:start w:val="1"/>
      <w:numFmt w:val="bullet"/>
      <w:lvlText w:val="•"/>
      <w:lvlJc w:val="left"/>
      <w:pPr>
        <w:tabs>
          <w:tab w:val="num" w:pos="5040"/>
        </w:tabs>
        <w:ind w:left="5040" w:hanging="360"/>
      </w:pPr>
      <w:rPr>
        <w:rFonts w:ascii="Times New Roman" w:hAnsi="Times New Roman" w:hint="default"/>
      </w:rPr>
    </w:lvl>
    <w:lvl w:ilvl="7" w:tplc="F564C61C" w:tentative="1">
      <w:start w:val="1"/>
      <w:numFmt w:val="bullet"/>
      <w:lvlText w:val="•"/>
      <w:lvlJc w:val="left"/>
      <w:pPr>
        <w:tabs>
          <w:tab w:val="num" w:pos="5760"/>
        </w:tabs>
        <w:ind w:left="5760" w:hanging="360"/>
      </w:pPr>
      <w:rPr>
        <w:rFonts w:ascii="Times New Roman" w:hAnsi="Times New Roman" w:hint="default"/>
      </w:rPr>
    </w:lvl>
    <w:lvl w:ilvl="8" w:tplc="C562E41E" w:tentative="1">
      <w:start w:val="1"/>
      <w:numFmt w:val="bullet"/>
      <w:lvlText w:val="•"/>
      <w:lvlJc w:val="left"/>
      <w:pPr>
        <w:tabs>
          <w:tab w:val="num" w:pos="6480"/>
        </w:tabs>
        <w:ind w:left="6480" w:hanging="360"/>
      </w:pPr>
      <w:rPr>
        <w:rFonts w:ascii="Times New Roman" w:hAnsi="Times New Roman" w:hint="default"/>
      </w:rPr>
    </w:lvl>
  </w:abstractNum>
  <w:abstractNum w:abstractNumId="16">
    <w:nsid w:val="3A422D2A"/>
    <w:multiLevelType w:val="multilevel"/>
    <w:tmpl w:val="8EC215FC"/>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C553E53"/>
    <w:multiLevelType w:val="hybridMultilevel"/>
    <w:tmpl w:val="4EE88F12"/>
    <w:lvl w:ilvl="0" w:tplc="0409000F">
      <w:start w:val="6"/>
      <w:numFmt w:val="decimal"/>
      <w:lvlText w:val="%1."/>
      <w:lvlJc w:val="left"/>
      <w:pPr>
        <w:tabs>
          <w:tab w:val="num" w:pos="720"/>
        </w:tabs>
        <w:ind w:left="720" w:hanging="360"/>
      </w:pPr>
      <w:rPr>
        <w:rFonts w:hint="default"/>
      </w:rPr>
    </w:lvl>
    <w:lvl w:ilvl="1" w:tplc="744C27C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D9117FF"/>
    <w:multiLevelType w:val="multilevel"/>
    <w:tmpl w:val="A5CAB3D6"/>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F7D6892"/>
    <w:multiLevelType w:val="hybridMultilevel"/>
    <w:tmpl w:val="D7F20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5922D75"/>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FD72B43"/>
    <w:multiLevelType w:val="multilevel"/>
    <w:tmpl w:val="45F416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60D6919"/>
    <w:multiLevelType w:val="multilevel"/>
    <w:tmpl w:val="199AA9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nsid w:val="5D4A1A49"/>
    <w:multiLevelType w:val="multilevel"/>
    <w:tmpl w:val="E1286DCA"/>
    <w:lvl w:ilvl="0">
      <w:start w:val="3"/>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b w:val="0"/>
        <w:i w:val="0"/>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F323A7B"/>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5F337FCC"/>
    <w:multiLevelType w:val="hybridMultilevel"/>
    <w:tmpl w:val="376ED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A8B187F"/>
    <w:multiLevelType w:val="hybridMultilevel"/>
    <w:tmpl w:val="CA8603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6BBA043E"/>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719B29E3"/>
    <w:multiLevelType w:val="multilevel"/>
    <w:tmpl w:val="E00CB7B6"/>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62655F5"/>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768474AC"/>
    <w:multiLevelType w:val="hybridMultilevel"/>
    <w:tmpl w:val="A4722C44"/>
    <w:lvl w:ilvl="0" w:tplc="999A4A3E">
      <w:start w:val="1"/>
      <w:numFmt w:val="lowerLetter"/>
      <w:lvlText w:val="%1."/>
      <w:lvlJc w:val="left"/>
      <w:pPr>
        <w:ind w:left="2145" w:hanging="360"/>
      </w:pPr>
      <w:rPr>
        <w:rFonts w:hint="default"/>
      </w:rPr>
    </w:lvl>
    <w:lvl w:ilvl="1" w:tplc="04090019" w:tentative="1">
      <w:start w:val="1"/>
      <w:numFmt w:val="lowerLetter"/>
      <w:lvlText w:val="%2."/>
      <w:lvlJc w:val="left"/>
      <w:pPr>
        <w:ind w:left="2865" w:hanging="360"/>
      </w:pPr>
    </w:lvl>
    <w:lvl w:ilvl="2" w:tplc="0409001B" w:tentative="1">
      <w:start w:val="1"/>
      <w:numFmt w:val="lowerRoman"/>
      <w:lvlText w:val="%3."/>
      <w:lvlJc w:val="right"/>
      <w:pPr>
        <w:ind w:left="3585" w:hanging="180"/>
      </w:pPr>
    </w:lvl>
    <w:lvl w:ilvl="3" w:tplc="0409000F" w:tentative="1">
      <w:start w:val="1"/>
      <w:numFmt w:val="decimal"/>
      <w:lvlText w:val="%4."/>
      <w:lvlJc w:val="left"/>
      <w:pPr>
        <w:ind w:left="4305" w:hanging="360"/>
      </w:pPr>
    </w:lvl>
    <w:lvl w:ilvl="4" w:tplc="04090019" w:tentative="1">
      <w:start w:val="1"/>
      <w:numFmt w:val="lowerLetter"/>
      <w:lvlText w:val="%5."/>
      <w:lvlJc w:val="left"/>
      <w:pPr>
        <w:ind w:left="5025" w:hanging="360"/>
      </w:pPr>
    </w:lvl>
    <w:lvl w:ilvl="5" w:tplc="0409001B" w:tentative="1">
      <w:start w:val="1"/>
      <w:numFmt w:val="lowerRoman"/>
      <w:lvlText w:val="%6."/>
      <w:lvlJc w:val="right"/>
      <w:pPr>
        <w:ind w:left="5745" w:hanging="180"/>
      </w:pPr>
    </w:lvl>
    <w:lvl w:ilvl="6" w:tplc="0409000F" w:tentative="1">
      <w:start w:val="1"/>
      <w:numFmt w:val="decimal"/>
      <w:lvlText w:val="%7."/>
      <w:lvlJc w:val="left"/>
      <w:pPr>
        <w:ind w:left="6465" w:hanging="360"/>
      </w:pPr>
    </w:lvl>
    <w:lvl w:ilvl="7" w:tplc="04090019" w:tentative="1">
      <w:start w:val="1"/>
      <w:numFmt w:val="lowerLetter"/>
      <w:lvlText w:val="%8."/>
      <w:lvlJc w:val="left"/>
      <w:pPr>
        <w:ind w:left="7185" w:hanging="360"/>
      </w:pPr>
    </w:lvl>
    <w:lvl w:ilvl="8" w:tplc="0409001B" w:tentative="1">
      <w:start w:val="1"/>
      <w:numFmt w:val="lowerRoman"/>
      <w:lvlText w:val="%9."/>
      <w:lvlJc w:val="right"/>
      <w:pPr>
        <w:ind w:left="7905" w:hanging="180"/>
      </w:pPr>
    </w:lvl>
  </w:abstractNum>
  <w:abstractNum w:abstractNumId="31">
    <w:nsid w:val="7955772A"/>
    <w:multiLevelType w:val="multilevel"/>
    <w:tmpl w:val="8B9C6CD8"/>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7A2D5541"/>
    <w:multiLevelType w:val="hybridMultilevel"/>
    <w:tmpl w:val="CA781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D5440B8"/>
    <w:multiLevelType w:val="hybridMultilevel"/>
    <w:tmpl w:val="207EEE3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8"/>
  </w:num>
  <w:num w:numId="3">
    <w:abstractNumId w:val="1"/>
  </w:num>
  <w:num w:numId="4">
    <w:abstractNumId w:val="15"/>
  </w:num>
  <w:num w:numId="5">
    <w:abstractNumId w:val="5"/>
  </w:num>
  <w:num w:numId="6">
    <w:abstractNumId w:val="3"/>
  </w:num>
  <w:num w:numId="7">
    <w:abstractNumId w:val="22"/>
  </w:num>
  <w:num w:numId="8">
    <w:abstractNumId w:val="12"/>
  </w:num>
  <w:num w:numId="9">
    <w:abstractNumId w:val="33"/>
  </w:num>
  <w:num w:numId="10">
    <w:abstractNumId w:val="6"/>
  </w:num>
  <w:num w:numId="11">
    <w:abstractNumId w:val="21"/>
  </w:num>
  <w:num w:numId="12">
    <w:abstractNumId w:val="32"/>
  </w:num>
  <w:num w:numId="13">
    <w:abstractNumId w:val="24"/>
  </w:num>
  <w:num w:numId="14">
    <w:abstractNumId w:val="20"/>
  </w:num>
  <w:num w:numId="15">
    <w:abstractNumId w:val="14"/>
  </w:num>
  <w:num w:numId="16">
    <w:abstractNumId w:val="29"/>
  </w:num>
  <w:num w:numId="17">
    <w:abstractNumId w:val="9"/>
  </w:num>
  <w:num w:numId="18">
    <w:abstractNumId w:val="8"/>
  </w:num>
  <w:num w:numId="19">
    <w:abstractNumId w:val="27"/>
  </w:num>
  <w:num w:numId="20">
    <w:abstractNumId w:val="10"/>
  </w:num>
  <w:num w:numId="2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2">
    <w:abstractNumId w:val="11"/>
  </w:num>
  <w:num w:numId="23">
    <w:abstractNumId w:val="23"/>
  </w:num>
  <w:num w:numId="24">
    <w:abstractNumId w:val="13"/>
  </w:num>
  <w:num w:numId="25">
    <w:abstractNumId w:val="4"/>
  </w:num>
  <w:num w:numId="26">
    <w:abstractNumId w:val="26"/>
  </w:num>
  <w:num w:numId="27">
    <w:abstractNumId w:val="17"/>
  </w:num>
  <w:num w:numId="28">
    <w:abstractNumId w:val="30"/>
  </w:num>
  <w:num w:numId="29">
    <w:abstractNumId w:val="18"/>
  </w:num>
  <w:num w:numId="30">
    <w:abstractNumId w:val="31"/>
  </w:num>
  <w:num w:numId="31">
    <w:abstractNumId w:val="7"/>
  </w:num>
  <w:num w:numId="32">
    <w:abstractNumId w:val="2"/>
  </w:num>
  <w:num w:numId="33">
    <w:abstractNumId w:val="19"/>
  </w:num>
  <w:num w:numId="3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826792"/>
    <w:rsid w:val="000459B0"/>
    <w:rsid w:val="00053AD8"/>
    <w:rsid w:val="00095CA7"/>
    <w:rsid w:val="000A6150"/>
    <w:rsid w:val="000F253A"/>
    <w:rsid w:val="00156D32"/>
    <w:rsid w:val="0019604F"/>
    <w:rsid w:val="001A4F3D"/>
    <w:rsid w:val="001B2497"/>
    <w:rsid w:val="00220AD2"/>
    <w:rsid w:val="0025507E"/>
    <w:rsid w:val="00283FDF"/>
    <w:rsid w:val="002C5A0A"/>
    <w:rsid w:val="002D647C"/>
    <w:rsid w:val="002E09D3"/>
    <w:rsid w:val="002E21B1"/>
    <w:rsid w:val="00301F0A"/>
    <w:rsid w:val="0031076B"/>
    <w:rsid w:val="00353B04"/>
    <w:rsid w:val="003B50D4"/>
    <w:rsid w:val="003C4BFA"/>
    <w:rsid w:val="004325D3"/>
    <w:rsid w:val="004C2A44"/>
    <w:rsid w:val="004F468E"/>
    <w:rsid w:val="0056292C"/>
    <w:rsid w:val="005D0786"/>
    <w:rsid w:val="005D7876"/>
    <w:rsid w:val="00606508"/>
    <w:rsid w:val="00676362"/>
    <w:rsid w:val="00740320"/>
    <w:rsid w:val="00742CB9"/>
    <w:rsid w:val="00754E35"/>
    <w:rsid w:val="00762D2F"/>
    <w:rsid w:val="00767256"/>
    <w:rsid w:val="00815624"/>
    <w:rsid w:val="00822231"/>
    <w:rsid w:val="00826792"/>
    <w:rsid w:val="0083194B"/>
    <w:rsid w:val="00877BED"/>
    <w:rsid w:val="008C0087"/>
    <w:rsid w:val="008D140D"/>
    <w:rsid w:val="009521BF"/>
    <w:rsid w:val="00954C97"/>
    <w:rsid w:val="009612FE"/>
    <w:rsid w:val="00A31645"/>
    <w:rsid w:val="00A578D3"/>
    <w:rsid w:val="00A709AF"/>
    <w:rsid w:val="00A872A2"/>
    <w:rsid w:val="00AB775F"/>
    <w:rsid w:val="00AD1DB4"/>
    <w:rsid w:val="00AE5A6E"/>
    <w:rsid w:val="00AF6B09"/>
    <w:rsid w:val="00BC6981"/>
    <w:rsid w:val="00C1419D"/>
    <w:rsid w:val="00C209D3"/>
    <w:rsid w:val="00C362D8"/>
    <w:rsid w:val="00C725D5"/>
    <w:rsid w:val="00C947F0"/>
    <w:rsid w:val="00C953E4"/>
    <w:rsid w:val="00D126CB"/>
    <w:rsid w:val="00D4318A"/>
    <w:rsid w:val="00D44847"/>
    <w:rsid w:val="00D77526"/>
    <w:rsid w:val="00DA1CA5"/>
    <w:rsid w:val="00DF2707"/>
    <w:rsid w:val="00E03D41"/>
    <w:rsid w:val="00E05570"/>
    <w:rsid w:val="00EB72F2"/>
    <w:rsid w:val="00F46EE7"/>
    <w:rsid w:val="00F714B3"/>
    <w:rsid w:val="00F9047B"/>
    <w:rsid w:val="00F9208D"/>
    <w:rsid w:val="00FC4711"/>
    <w:rsid w:val="00FE49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2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822231"/>
    <w:rPr>
      <w:rFonts w:ascii="Arial" w:hAnsi="Arial"/>
      <w:sz w:val="20"/>
      <w:szCs w:val="20"/>
    </w:rPr>
  </w:style>
  <w:style w:type="character" w:styleId="Hyperlink">
    <w:name w:val="Hyperlink"/>
    <w:basedOn w:val="DefaultParagraphFont"/>
    <w:rsid w:val="00A578D3"/>
    <w:rPr>
      <w:color w:val="0000FF"/>
      <w:u w:val="single"/>
    </w:rPr>
  </w:style>
  <w:style w:type="paragraph" w:customStyle="1" w:styleId="Textlevel2">
    <w:name w:val="Text level 2"/>
    <w:basedOn w:val="Normal"/>
    <w:rsid w:val="00AD1DB4"/>
    <w:pPr>
      <w:overflowPunct w:val="0"/>
      <w:autoSpaceDE w:val="0"/>
      <w:autoSpaceDN w:val="0"/>
      <w:adjustRightInd w:val="0"/>
      <w:spacing w:before="240"/>
      <w:ind w:left="2160" w:hanging="720"/>
      <w:jc w:val="both"/>
      <w:textAlignment w:val="baseline"/>
    </w:pPr>
    <w:rPr>
      <w:rFonts w:ascii="Times" w:hAnsi="Times"/>
      <w:szCs w:val="20"/>
    </w:rPr>
  </w:style>
  <w:style w:type="paragraph" w:customStyle="1" w:styleId="Listlevel3">
    <w:name w:val="List level 3"/>
    <w:basedOn w:val="Normal"/>
    <w:rsid w:val="00AD1DB4"/>
    <w:pPr>
      <w:overflowPunct w:val="0"/>
      <w:autoSpaceDE w:val="0"/>
      <w:autoSpaceDN w:val="0"/>
      <w:adjustRightInd w:val="0"/>
      <w:ind w:left="2160"/>
      <w:textAlignment w:val="baseline"/>
    </w:pPr>
    <w:rPr>
      <w:rFonts w:ascii="Times" w:hAnsi="Times"/>
      <w:szCs w:val="20"/>
    </w:rPr>
  </w:style>
  <w:style w:type="paragraph" w:customStyle="1" w:styleId="Textlevel1">
    <w:name w:val="Text level 1"/>
    <w:basedOn w:val="Normal"/>
    <w:rsid w:val="000A6150"/>
    <w:pPr>
      <w:overflowPunct w:val="0"/>
      <w:autoSpaceDE w:val="0"/>
      <w:autoSpaceDN w:val="0"/>
      <w:adjustRightInd w:val="0"/>
      <w:spacing w:before="240"/>
      <w:ind w:left="1440" w:hanging="720"/>
      <w:jc w:val="both"/>
      <w:textAlignment w:val="baseline"/>
    </w:pPr>
    <w:rPr>
      <w:rFonts w:ascii="Times" w:hAnsi="Times"/>
      <w:szCs w:val="20"/>
    </w:rPr>
  </w:style>
  <w:style w:type="paragraph" w:styleId="NormalWeb">
    <w:name w:val="Normal (Web)"/>
    <w:basedOn w:val="Normal"/>
    <w:rsid w:val="000A6150"/>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link w:val="BodyTextIndent2Char"/>
    <w:rsid w:val="009521BF"/>
    <w:pPr>
      <w:spacing w:after="120" w:line="480" w:lineRule="auto"/>
      <w:ind w:left="360"/>
    </w:pPr>
  </w:style>
  <w:style w:type="character" w:customStyle="1" w:styleId="BodyTextIndent2Char">
    <w:name w:val="Body Text Indent 2 Char"/>
    <w:basedOn w:val="DefaultParagraphFont"/>
    <w:link w:val="BodyTextIndent2"/>
    <w:rsid w:val="009521BF"/>
    <w:rPr>
      <w:sz w:val="24"/>
      <w:szCs w:val="24"/>
    </w:rPr>
  </w:style>
  <w:style w:type="paragraph" w:styleId="ListParagraph">
    <w:name w:val="List Paragraph"/>
    <w:basedOn w:val="Normal"/>
    <w:uiPriority w:val="34"/>
    <w:qFormat/>
    <w:rsid w:val="009521BF"/>
    <w:pPr>
      <w:ind w:left="720"/>
    </w:pPr>
  </w:style>
  <w:style w:type="character" w:styleId="CommentReference">
    <w:name w:val="annotation reference"/>
    <w:basedOn w:val="DefaultParagraphFont"/>
    <w:rsid w:val="00F9047B"/>
    <w:rPr>
      <w:sz w:val="16"/>
      <w:szCs w:val="16"/>
    </w:rPr>
  </w:style>
  <w:style w:type="paragraph" w:styleId="CommentText">
    <w:name w:val="annotation text"/>
    <w:basedOn w:val="Normal"/>
    <w:link w:val="CommentTextChar"/>
    <w:rsid w:val="00F9047B"/>
    <w:rPr>
      <w:sz w:val="20"/>
      <w:szCs w:val="20"/>
    </w:rPr>
  </w:style>
  <w:style w:type="character" w:customStyle="1" w:styleId="CommentTextChar">
    <w:name w:val="Comment Text Char"/>
    <w:basedOn w:val="DefaultParagraphFont"/>
    <w:link w:val="CommentText"/>
    <w:rsid w:val="00F9047B"/>
  </w:style>
  <w:style w:type="paragraph" w:styleId="CommentSubject">
    <w:name w:val="annotation subject"/>
    <w:basedOn w:val="CommentText"/>
    <w:next w:val="CommentText"/>
    <w:link w:val="CommentSubjectChar"/>
    <w:rsid w:val="00F9047B"/>
    <w:rPr>
      <w:b/>
      <w:bCs/>
    </w:rPr>
  </w:style>
  <w:style w:type="character" w:customStyle="1" w:styleId="CommentSubjectChar">
    <w:name w:val="Comment Subject Char"/>
    <w:basedOn w:val="CommentTextChar"/>
    <w:link w:val="CommentSubject"/>
    <w:rsid w:val="00F9047B"/>
    <w:rPr>
      <w:b/>
      <w:bCs/>
    </w:rPr>
  </w:style>
  <w:style w:type="paragraph" w:styleId="BalloonText">
    <w:name w:val="Balloon Text"/>
    <w:basedOn w:val="Normal"/>
    <w:link w:val="BalloonTextChar"/>
    <w:rsid w:val="00F9047B"/>
    <w:rPr>
      <w:rFonts w:ascii="Tahoma" w:hAnsi="Tahoma" w:cs="Tahoma"/>
      <w:sz w:val="16"/>
      <w:szCs w:val="16"/>
    </w:rPr>
  </w:style>
  <w:style w:type="character" w:customStyle="1" w:styleId="BalloonTextChar">
    <w:name w:val="Balloon Text Char"/>
    <w:basedOn w:val="DefaultParagraphFont"/>
    <w:link w:val="BalloonText"/>
    <w:rsid w:val="00F9047B"/>
    <w:rPr>
      <w:rFonts w:ascii="Tahoma" w:hAnsi="Tahoma" w:cs="Tahoma"/>
      <w:sz w:val="16"/>
      <w:szCs w:val="16"/>
    </w:rPr>
  </w:style>
  <w:style w:type="paragraph" w:styleId="Revision">
    <w:name w:val="Revision"/>
    <w:hidden/>
    <w:uiPriority w:val="99"/>
    <w:semiHidden/>
    <w:rsid w:val="00DA1CA5"/>
    <w:rPr>
      <w:sz w:val="24"/>
      <w:szCs w:val="24"/>
    </w:rPr>
  </w:style>
  <w:style w:type="character" w:styleId="FollowedHyperlink">
    <w:name w:val="FollowedHyperlink"/>
    <w:basedOn w:val="DefaultParagraphFont"/>
    <w:rsid w:val="002E09D3"/>
    <w:rPr>
      <w:color w:val="800080"/>
      <w:u w:val="single"/>
    </w:rPr>
  </w:style>
</w:styles>
</file>

<file path=word/webSettings.xml><?xml version="1.0" encoding="utf-8"?>
<w:webSettings xmlns:r="http://schemas.openxmlformats.org/officeDocument/2006/relationships" xmlns:w="http://schemas.openxmlformats.org/wordprocessingml/2006/main">
  <w:divs>
    <w:div w:id="302321175">
      <w:bodyDiv w:val="1"/>
      <w:marLeft w:val="0"/>
      <w:marRight w:val="0"/>
      <w:marTop w:val="0"/>
      <w:marBottom w:val="0"/>
      <w:divBdr>
        <w:top w:val="none" w:sz="0" w:space="0" w:color="auto"/>
        <w:left w:val="none" w:sz="0" w:space="0" w:color="auto"/>
        <w:bottom w:val="none" w:sz="0" w:space="0" w:color="auto"/>
        <w:right w:val="none" w:sz="0" w:space="0" w:color="auto"/>
      </w:divBdr>
      <w:divsChild>
        <w:div w:id="11418825">
          <w:marLeft w:val="0"/>
          <w:marRight w:val="0"/>
          <w:marTop w:val="0"/>
          <w:marBottom w:val="0"/>
          <w:divBdr>
            <w:top w:val="none" w:sz="0" w:space="0" w:color="auto"/>
            <w:left w:val="none" w:sz="0" w:space="0" w:color="auto"/>
            <w:bottom w:val="none" w:sz="0" w:space="0" w:color="auto"/>
            <w:right w:val="none" w:sz="0" w:space="0" w:color="auto"/>
          </w:divBdr>
          <w:divsChild>
            <w:div w:id="181673165">
              <w:marLeft w:val="0"/>
              <w:marRight w:val="0"/>
              <w:marTop w:val="0"/>
              <w:marBottom w:val="0"/>
              <w:divBdr>
                <w:top w:val="none" w:sz="0" w:space="0" w:color="auto"/>
                <w:left w:val="none" w:sz="0" w:space="0" w:color="auto"/>
                <w:bottom w:val="none" w:sz="0" w:space="0" w:color="auto"/>
                <w:right w:val="none" w:sz="0" w:space="0" w:color="auto"/>
              </w:divBdr>
            </w:div>
            <w:div w:id="630668132">
              <w:marLeft w:val="0"/>
              <w:marRight w:val="0"/>
              <w:marTop w:val="0"/>
              <w:marBottom w:val="0"/>
              <w:divBdr>
                <w:top w:val="none" w:sz="0" w:space="0" w:color="auto"/>
                <w:left w:val="none" w:sz="0" w:space="0" w:color="auto"/>
                <w:bottom w:val="none" w:sz="0" w:space="0" w:color="auto"/>
                <w:right w:val="none" w:sz="0" w:space="0" w:color="auto"/>
              </w:divBdr>
            </w:div>
            <w:div w:id="704988756">
              <w:marLeft w:val="0"/>
              <w:marRight w:val="0"/>
              <w:marTop w:val="0"/>
              <w:marBottom w:val="0"/>
              <w:divBdr>
                <w:top w:val="none" w:sz="0" w:space="0" w:color="auto"/>
                <w:left w:val="none" w:sz="0" w:space="0" w:color="auto"/>
                <w:bottom w:val="none" w:sz="0" w:space="0" w:color="auto"/>
                <w:right w:val="none" w:sz="0" w:space="0" w:color="auto"/>
              </w:divBdr>
            </w:div>
            <w:div w:id="866989957">
              <w:marLeft w:val="0"/>
              <w:marRight w:val="0"/>
              <w:marTop w:val="0"/>
              <w:marBottom w:val="0"/>
              <w:divBdr>
                <w:top w:val="none" w:sz="0" w:space="0" w:color="auto"/>
                <w:left w:val="none" w:sz="0" w:space="0" w:color="auto"/>
                <w:bottom w:val="none" w:sz="0" w:space="0" w:color="auto"/>
                <w:right w:val="none" w:sz="0" w:space="0" w:color="auto"/>
              </w:divBdr>
            </w:div>
            <w:div w:id="1295869962">
              <w:marLeft w:val="0"/>
              <w:marRight w:val="0"/>
              <w:marTop w:val="0"/>
              <w:marBottom w:val="0"/>
              <w:divBdr>
                <w:top w:val="none" w:sz="0" w:space="0" w:color="auto"/>
                <w:left w:val="none" w:sz="0" w:space="0" w:color="auto"/>
                <w:bottom w:val="none" w:sz="0" w:space="0" w:color="auto"/>
                <w:right w:val="none" w:sz="0" w:space="0" w:color="auto"/>
              </w:divBdr>
            </w:div>
            <w:div w:id="1581864864">
              <w:marLeft w:val="0"/>
              <w:marRight w:val="0"/>
              <w:marTop w:val="0"/>
              <w:marBottom w:val="0"/>
              <w:divBdr>
                <w:top w:val="none" w:sz="0" w:space="0" w:color="auto"/>
                <w:left w:val="none" w:sz="0" w:space="0" w:color="auto"/>
                <w:bottom w:val="none" w:sz="0" w:space="0" w:color="auto"/>
                <w:right w:val="none" w:sz="0" w:space="0" w:color="auto"/>
              </w:divBdr>
            </w:div>
            <w:div w:id="1649625652">
              <w:marLeft w:val="0"/>
              <w:marRight w:val="0"/>
              <w:marTop w:val="0"/>
              <w:marBottom w:val="0"/>
              <w:divBdr>
                <w:top w:val="none" w:sz="0" w:space="0" w:color="auto"/>
                <w:left w:val="none" w:sz="0" w:space="0" w:color="auto"/>
                <w:bottom w:val="none" w:sz="0" w:space="0" w:color="auto"/>
                <w:right w:val="none" w:sz="0" w:space="0" w:color="auto"/>
              </w:divBdr>
            </w:div>
            <w:div w:id="1743334351">
              <w:marLeft w:val="0"/>
              <w:marRight w:val="0"/>
              <w:marTop w:val="0"/>
              <w:marBottom w:val="0"/>
              <w:divBdr>
                <w:top w:val="none" w:sz="0" w:space="0" w:color="auto"/>
                <w:left w:val="none" w:sz="0" w:space="0" w:color="auto"/>
                <w:bottom w:val="none" w:sz="0" w:space="0" w:color="auto"/>
                <w:right w:val="none" w:sz="0" w:space="0" w:color="auto"/>
              </w:divBdr>
            </w:div>
            <w:div w:id="1822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26199">
      <w:bodyDiv w:val="1"/>
      <w:marLeft w:val="0"/>
      <w:marRight w:val="0"/>
      <w:marTop w:val="0"/>
      <w:marBottom w:val="0"/>
      <w:divBdr>
        <w:top w:val="none" w:sz="0" w:space="0" w:color="auto"/>
        <w:left w:val="none" w:sz="0" w:space="0" w:color="auto"/>
        <w:bottom w:val="none" w:sz="0" w:space="0" w:color="auto"/>
        <w:right w:val="none" w:sz="0" w:space="0" w:color="auto"/>
      </w:divBdr>
    </w:div>
    <w:div w:id="1846363375">
      <w:bodyDiv w:val="1"/>
      <w:marLeft w:val="0"/>
      <w:marRight w:val="0"/>
      <w:marTop w:val="0"/>
      <w:marBottom w:val="0"/>
      <w:divBdr>
        <w:top w:val="none" w:sz="0" w:space="0" w:color="auto"/>
        <w:left w:val="none" w:sz="0" w:space="0" w:color="auto"/>
        <w:bottom w:val="none" w:sz="0" w:space="0" w:color="auto"/>
        <w:right w:val="none" w:sz="0" w:space="0" w:color="auto"/>
      </w:divBdr>
      <w:divsChild>
        <w:div w:id="108555275">
          <w:marLeft w:val="0"/>
          <w:marRight w:val="0"/>
          <w:marTop w:val="0"/>
          <w:marBottom w:val="0"/>
          <w:divBdr>
            <w:top w:val="none" w:sz="0" w:space="0" w:color="auto"/>
            <w:left w:val="none" w:sz="0" w:space="0" w:color="auto"/>
            <w:bottom w:val="none" w:sz="0" w:space="0" w:color="auto"/>
            <w:right w:val="none" w:sz="0" w:space="0" w:color="auto"/>
          </w:divBdr>
        </w:div>
        <w:div w:id="310063191">
          <w:marLeft w:val="0"/>
          <w:marRight w:val="0"/>
          <w:marTop w:val="0"/>
          <w:marBottom w:val="0"/>
          <w:divBdr>
            <w:top w:val="none" w:sz="0" w:space="0" w:color="auto"/>
            <w:left w:val="none" w:sz="0" w:space="0" w:color="auto"/>
            <w:bottom w:val="none" w:sz="0" w:space="0" w:color="auto"/>
            <w:right w:val="none" w:sz="0" w:space="0" w:color="auto"/>
          </w:divBdr>
        </w:div>
        <w:div w:id="399210340">
          <w:marLeft w:val="0"/>
          <w:marRight w:val="0"/>
          <w:marTop w:val="0"/>
          <w:marBottom w:val="0"/>
          <w:divBdr>
            <w:top w:val="none" w:sz="0" w:space="0" w:color="auto"/>
            <w:left w:val="none" w:sz="0" w:space="0" w:color="auto"/>
            <w:bottom w:val="none" w:sz="0" w:space="0" w:color="auto"/>
            <w:right w:val="none" w:sz="0" w:space="0" w:color="auto"/>
          </w:divBdr>
        </w:div>
        <w:div w:id="1052004317">
          <w:marLeft w:val="0"/>
          <w:marRight w:val="0"/>
          <w:marTop w:val="0"/>
          <w:marBottom w:val="0"/>
          <w:divBdr>
            <w:top w:val="none" w:sz="0" w:space="0" w:color="auto"/>
            <w:left w:val="none" w:sz="0" w:space="0" w:color="auto"/>
            <w:bottom w:val="none" w:sz="0" w:space="0" w:color="auto"/>
            <w:right w:val="none" w:sz="0" w:space="0" w:color="auto"/>
          </w:divBdr>
        </w:div>
        <w:div w:id="1227300401">
          <w:marLeft w:val="0"/>
          <w:marRight w:val="0"/>
          <w:marTop w:val="0"/>
          <w:marBottom w:val="0"/>
          <w:divBdr>
            <w:top w:val="none" w:sz="0" w:space="0" w:color="auto"/>
            <w:left w:val="none" w:sz="0" w:space="0" w:color="auto"/>
            <w:bottom w:val="none" w:sz="0" w:space="0" w:color="auto"/>
            <w:right w:val="none" w:sz="0" w:space="0" w:color="auto"/>
          </w:divBdr>
        </w:div>
        <w:div w:id="1265073153">
          <w:marLeft w:val="0"/>
          <w:marRight w:val="0"/>
          <w:marTop w:val="0"/>
          <w:marBottom w:val="0"/>
          <w:divBdr>
            <w:top w:val="none" w:sz="0" w:space="0" w:color="auto"/>
            <w:left w:val="none" w:sz="0" w:space="0" w:color="auto"/>
            <w:bottom w:val="none" w:sz="0" w:space="0" w:color="auto"/>
            <w:right w:val="none" w:sz="0" w:space="0" w:color="auto"/>
          </w:divBdr>
        </w:div>
        <w:div w:id="1341279571">
          <w:marLeft w:val="0"/>
          <w:marRight w:val="0"/>
          <w:marTop w:val="0"/>
          <w:marBottom w:val="0"/>
          <w:divBdr>
            <w:top w:val="none" w:sz="0" w:space="0" w:color="auto"/>
            <w:left w:val="none" w:sz="0" w:space="0" w:color="auto"/>
            <w:bottom w:val="none" w:sz="0" w:space="0" w:color="auto"/>
            <w:right w:val="none" w:sz="0" w:space="0" w:color="auto"/>
          </w:divBdr>
        </w:div>
        <w:div w:id="1413425833">
          <w:marLeft w:val="0"/>
          <w:marRight w:val="0"/>
          <w:marTop w:val="0"/>
          <w:marBottom w:val="0"/>
          <w:divBdr>
            <w:top w:val="none" w:sz="0" w:space="0" w:color="auto"/>
            <w:left w:val="none" w:sz="0" w:space="0" w:color="auto"/>
            <w:bottom w:val="none" w:sz="0" w:space="0" w:color="auto"/>
            <w:right w:val="none" w:sz="0" w:space="0" w:color="auto"/>
          </w:divBdr>
        </w:div>
        <w:div w:id="1959726239">
          <w:marLeft w:val="0"/>
          <w:marRight w:val="0"/>
          <w:marTop w:val="0"/>
          <w:marBottom w:val="0"/>
          <w:divBdr>
            <w:top w:val="none" w:sz="0" w:space="0" w:color="auto"/>
            <w:left w:val="none" w:sz="0" w:space="0" w:color="auto"/>
            <w:bottom w:val="none" w:sz="0" w:space="0" w:color="auto"/>
            <w:right w:val="none" w:sz="0" w:space="0" w:color="auto"/>
          </w:divBdr>
        </w:div>
        <w:div w:id="2073431550">
          <w:marLeft w:val="0"/>
          <w:marRight w:val="0"/>
          <w:marTop w:val="0"/>
          <w:marBottom w:val="0"/>
          <w:divBdr>
            <w:top w:val="none" w:sz="0" w:space="0" w:color="auto"/>
            <w:left w:val="none" w:sz="0" w:space="0" w:color="auto"/>
            <w:bottom w:val="none" w:sz="0" w:space="0" w:color="auto"/>
            <w:right w:val="none" w:sz="0" w:space="0" w:color="auto"/>
          </w:divBdr>
        </w:div>
        <w:div w:id="2132287097">
          <w:marLeft w:val="0"/>
          <w:marRight w:val="0"/>
          <w:marTop w:val="0"/>
          <w:marBottom w:val="0"/>
          <w:divBdr>
            <w:top w:val="none" w:sz="0" w:space="0" w:color="auto"/>
            <w:left w:val="none" w:sz="0" w:space="0" w:color="auto"/>
            <w:bottom w:val="none" w:sz="0" w:space="0" w:color="auto"/>
            <w:right w:val="none" w:sz="0" w:space="0" w:color="auto"/>
          </w:divBdr>
        </w:div>
      </w:divsChild>
    </w:div>
    <w:div w:id="1856336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inicaltrials@uth.tmc.edu" TargetMode="External"/><Relationship Id="rId5" Type="http://schemas.openxmlformats.org/officeDocument/2006/relationships/hyperlink" Target="http://www.uth.tmc.edu/ctrc/siteinspectionnotificatio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1015</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CPHS Standard Operating Procedures:</vt:lpstr>
    </vt:vector>
  </TitlesOfParts>
  <Company>UTHSC</Company>
  <LinksUpToDate>false</LinksUpToDate>
  <CharactersWithSpaces>6956</CharactersWithSpaces>
  <SharedDoc>false</SharedDoc>
  <HLinks>
    <vt:vector size="12" baseType="variant">
      <vt:variant>
        <vt:i4>2883656</vt:i4>
      </vt:variant>
      <vt:variant>
        <vt:i4>3</vt:i4>
      </vt:variant>
      <vt:variant>
        <vt:i4>0</vt:i4>
      </vt:variant>
      <vt:variant>
        <vt:i4>5</vt:i4>
      </vt:variant>
      <vt:variant>
        <vt:lpwstr>mailto:clinicaltrials@uth.tmc.edu</vt:lpwstr>
      </vt:variant>
      <vt:variant>
        <vt:lpwstr/>
      </vt:variant>
      <vt:variant>
        <vt:i4>7667752</vt:i4>
      </vt:variant>
      <vt:variant>
        <vt:i4>0</vt:i4>
      </vt:variant>
      <vt:variant>
        <vt:i4>0</vt:i4>
      </vt:variant>
      <vt:variant>
        <vt:i4>5</vt:i4>
      </vt:variant>
      <vt:variant>
        <vt:lpwstr>http://www.uth.tmc.edu/ctrc/siteinspectionnotification.html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CPHS Standard Operating Procedures:</dc:title>
  <dc:subject/>
  <dc:creator>ssridhar2</dc:creator>
  <cp:keywords/>
  <dc:description/>
  <cp:lastModifiedBy>ssridhar2</cp:lastModifiedBy>
  <cp:revision>5</cp:revision>
  <dcterms:created xsi:type="dcterms:W3CDTF">2010-08-25T14:08:00Z</dcterms:created>
  <dcterms:modified xsi:type="dcterms:W3CDTF">2011-05-19T16:42:00Z</dcterms:modified>
</cp:coreProperties>
</file>