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ABF" w:rsidRPr="0078442A" w:rsidRDefault="00772ABF" w:rsidP="0078442A">
      <w:pPr>
        <w:spacing w:line="276" w:lineRule="auto"/>
        <w:rPr>
          <w:rFonts w:asciiTheme="minorHAnsi" w:hAnsiTheme="minorHAnsi" w:cs="Arial"/>
          <w:b/>
          <w:bCs/>
          <w:color w:val="000000" w:themeColor="text1"/>
          <w:sz w:val="22"/>
          <w:szCs w:val="22"/>
        </w:rPr>
      </w:pPr>
      <w:r w:rsidRPr="0078442A">
        <w:rPr>
          <w:rFonts w:asciiTheme="minorHAnsi" w:hAnsiTheme="minorHAnsi" w:cs="Arial"/>
          <w:b/>
          <w:bCs/>
          <w:color w:val="000000" w:themeColor="text1"/>
          <w:sz w:val="22"/>
          <w:szCs w:val="22"/>
        </w:rPr>
        <w:t>GUIDANCE:  Consent by Legally Acceptable Representative</w:t>
      </w:r>
    </w:p>
    <w:p w:rsidR="00772ABF" w:rsidRPr="0078442A" w:rsidRDefault="00772ABF" w:rsidP="0078442A">
      <w:pPr>
        <w:spacing w:line="276" w:lineRule="auto"/>
        <w:rPr>
          <w:rFonts w:asciiTheme="minorHAnsi" w:hAnsiTheme="minorHAnsi" w:cs="Arial"/>
          <w:bCs/>
          <w:color w:val="000000" w:themeColor="text1"/>
          <w:sz w:val="22"/>
          <w:szCs w:val="22"/>
        </w:rPr>
      </w:pPr>
    </w:p>
    <w:p w:rsidR="009F1516" w:rsidRPr="0078442A" w:rsidRDefault="00772ABF" w:rsidP="0078442A">
      <w:pPr>
        <w:spacing w:line="276" w:lineRule="auto"/>
        <w:rPr>
          <w:rFonts w:asciiTheme="minorHAnsi" w:hAnsiTheme="minorHAnsi" w:cs="Arial"/>
          <w:color w:val="000000" w:themeColor="text1"/>
          <w:sz w:val="22"/>
          <w:szCs w:val="22"/>
        </w:rPr>
      </w:pPr>
      <w:r w:rsidRPr="0078442A">
        <w:rPr>
          <w:rFonts w:asciiTheme="minorHAnsi" w:hAnsiTheme="minorHAnsi" w:cs="Arial"/>
          <w:b/>
          <w:color w:val="000000" w:themeColor="text1"/>
          <w:sz w:val="22"/>
          <w:szCs w:val="22"/>
        </w:rPr>
        <w:t>Policy:</w:t>
      </w:r>
      <w:r w:rsidR="0078442A" w:rsidRPr="0078442A">
        <w:rPr>
          <w:rFonts w:asciiTheme="minorHAnsi" w:hAnsiTheme="minorHAnsi" w:cs="Arial"/>
          <w:color w:val="000000" w:themeColor="text1"/>
          <w:sz w:val="22"/>
          <w:szCs w:val="22"/>
        </w:rPr>
        <w:t xml:space="preserve"> </w:t>
      </w:r>
      <w:r w:rsidRPr="0078442A">
        <w:rPr>
          <w:rFonts w:asciiTheme="minorHAnsi" w:hAnsiTheme="minorHAnsi" w:cs="Arial"/>
          <w:color w:val="000000" w:themeColor="text1"/>
          <w:sz w:val="22"/>
          <w:szCs w:val="22"/>
        </w:rPr>
        <w:t xml:space="preserve"> </w:t>
      </w:r>
      <w:r w:rsidR="0078442A" w:rsidRPr="0078442A">
        <w:rPr>
          <w:rFonts w:asciiTheme="minorHAnsi" w:hAnsiTheme="minorHAnsi" w:cs="Arial"/>
          <w:color w:val="000000" w:themeColor="text1"/>
          <w:sz w:val="22"/>
          <w:szCs w:val="22"/>
        </w:rPr>
        <w:t xml:space="preserve">The UTHSC-H requires that informed consent must be obtained from all human subjects prior to their participation in any research unless the process, or any part thereof, has been waived by the CPHS. </w:t>
      </w:r>
      <w:r w:rsidR="0078442A" w:rsidRPr="0078442A">
        <w:rPr>
          <w:rFonts w:asciiTheme="minorHAnsi" w:hAnsiTheme="minorHAnsi" w:cs="Arial"/>
          <w:i/>
          <w:color w:val="000000" w:themeColor="text1"/>
          <w:sz w:val="22"/>
          <w:szCs w:val="22"/>
        </w:rPr>
        <w:t>(</w:t>
      </w:r>
      <w:proofErr w:type="gramStart"/>
      <w:r w:rsidR="0078442A" w:rsidRPr="0078442A">
        <w:rPr>
          <w:rFonts w:asciiTheme="minorHAnsi" w:hAnsiTheme="minorHAnsi" w:cs="Arial"/>
          <w:i/>
          <w:color w:val="000000" w:themeColor="text1"/>
          <w:sz w:val="22"/>
          <w:szCs w:val="22"/>
        </w:rPr>
        <w:t>from</w:t>
      </w:r>
      <w:proofErr w:type="gramEnd"/>
      <w:r w:rsidR="0078442A" w:rsidRPr="0078442A">
        <w:rPr>
          <w:rFonts w:asciiTheme="minorHAnsi" w:hAnsiTheme="minorHAnsi" w:cs="Arial"/>
          <w:i/>
          <w:color w:val="000000" w:themeColor="text1"/>
          <w:sz w:val="22"/>
          <w:szCs w:val="22"/>
        </w:rPr>
        <w:t xml:space="preserve"> CPHS Policy - Informed Consent)</w:t>
      </w:r>
      <w:r w:rsidR="0078442A" w:rsidRPr="0078442A">
        <w:rPr>
          <w:rFonts w:asciiTheme="minorHAnsi" w:hAnsiTheme="minorHAnsi" w:cs="Arial"/>
          <w:color w:val="000000" w:themeColor="text1"/>
          <w:sz w:val="22"/>
          <w:szCs w:val="22"/>
        </w:rPr>
        <w:t xml:space="preserve">. </w:t>
      </w:r>
      <w:r w:rsidR="0078442A" w:rsidRPr="0078442A">
        <w:rPr>
          <w:rFonts w:asciiTheme="minorHAnsi" w:hAnsiTheme="minorHAnsi"/>
          <w:color w:val="000000" w:themeColor="text1"/>
          <w:sz w:val="22"/>
          <w:szCs w:val="22"/>
        </w:rPr>
        <w:t>I</w:t>
      </w:r>
      <w:r w:rsidR="0087695B" w:rsidRPr="0078442A">
        <w:rPr>
          <w:rFonts w:asciiTheme="minorHAnsi" w:hAnsiTheme="minorHAnsi"/>
          <w:color w:val="000000" w:themeColor="text1"/>
          <w:sz w:val="22"/>
          <w:szCs w:val="22"/>
        </w:rPr>
        <w:t>n obtaining and documenting informed consent, study personnel should comply with Good Clinical Practice regulations and abide by the ethical principles that have their origin in the Belmont Report.</w:t>
      </w:r>
    </w:p>
    <w:p w:rsidR="009F1516" w:rsidRDefault="009F1516" w:rsidP="0078442A">
      <w:pPr>
        <w:spacing w:line="276" w:lineRule="auto"/>
        <w:outlineLvl w:val="1"/>
        <w:rPr>
          <w:rFonts w:asciiTheme="minorHAnsi" w:hAnsiTheme="minorHAnsi" w:cs="Arial"/>
          <w:bCs/>
          <w:color w:val="000000" w:themeColor="text1"/>
          <w:sz w:val="22"/>
          <w:szCs w:val="22"/>
        </w:rPr>
      </w:pPr>
    </w:p>
    <w:p w:rsidR="00C34201" w:rsidRPr="00C34201" w:rsidRDefault="00C34201" w:rsidP="00C34201">
      <w:pPr>
        <w:pBdr>
          <w:top w:val="single" w:sz="4" w:space="1" w:color="auto"/>
          <w:left w:val="single" w:sz="4" w:space="4" w:color="auto"/>
          <w:bottom w:val="single" w:sz="4" w:space="1" w:color="auto"/>
          <w:right w:val="single" w:sz="4" w:space="4" w:color="auto"/>
        </w:pBdr>
        <w:spacing w:line="276" w:lineRule="auto"/>
        <w:outlineLvl w:val="1"/>
        <w:rPr>
          <w:rFonts w:asciiTheme="minorHAnsi" w:hAnsiTheme="minorHAnsi" w:cs="Arial"/>
          <w:b/>
          <w:bCs/>
          <w:color w:val="000000" w:themeColor="text1"/>
          <w:sz w:val="22"/>
          <w:szCs w:val="22"/>
        </w:rPr>
      </w:pPr>
      <w:r w:rsidRPr="00C34201">
        <w:rPr>
          <w:rFonts w:asciiTheme="minorHAnsi" w:hAnsiTheme="minorHAnsi" w:cs="Arial"/>
          <w:b/>
          <w:bCs/>
          <w:color w:val="000000" w:themeColor="text1"/>
          <w:sz w:val="22"/>
          <w:szCs w:val="22"/>
        </w:rPr>
        <w:t>Key Terms</w:t>
      </w:r>
    </w:p>
    <w:p w:rsidR="00C34201" w:rsidRPr="00C34201" w:rsidRDefault="00C34201" w:rsidP="00C34201">
      <w:pPr>
        <w:pBdr>
          <w:top w:val="single" w:sz="4" w:space="1" w:color="auto"/>
          <w:left w:val="single" w:sz="4" w:space="4" w:color="auto"/>
          <w:bottom w:val="single" w:sz="4" w:space="1" w:color="auto"/>
          <w:right w:val="single" w:sz="4" w:space="4" w:color="auto"/>
        </w:pBdr>
        <w:spacing w:line="276" w:lineRule="auto"/>
        <w:outlineLvl w:val="1"/>
        <w:rPr>
          <w:rFonts w:asciiTheme="minorHAnsi" w:hAnsiTheme="minorHAnsi" w:cs="Arial"/>
          <w:b/>
          <w:bCs/>
          <w:color w:val="000000" w:themeColor="text1"/>
          <w:sz w:val="22"/>
          <w:szCs w:val="22"/>
        </w:rPr>
      </w:pPr>
    </w:p>
    <w:p w:rsidR="00C34201" w:rsidRPr="00C34201" w:rsidRDefault="00C34201" w:rsidP="00C34201">
      <w:pPr>
        <w:pBdr>
          <w:top w:val="single" w:sz="4" w:space="1" w:color="auto"/>
          <w:left w:val="single" w:sz="4" w:space="4" w:color="auto"/>
          <w:bottom w:val="single" w:sz="4" w:space="1" w:color="auto"/>
          <w:right w:val="single" w:sz="4" w:space="4" w:color="auto"/>
        </w:pBdr>
        <w:spacing w:line="276" w:lineRule="auto"/>
        <w:outlineLvl w:val="1"/>
        <w:rPr>
          <w:rFonts w:asciiTheme="minorHAnsi" w:hAnsiTheme="minorHAnsi" w:cs="Arial"/>
          <w:bCs/>
          <w:color w:val="000000" w:themeColor="text1"/>
          <w:sz w:val="22"/>
          <w:szCs w:val="22"/>
        </w:rPr>
      </w:pPr>
      <w:r w:rsidRPr="00C34201">
        <w:rPr>
          <w:rFonts w:asciiTheme="minorHAnsi" w:hAnsiTheme="minorHAnsi" w:cs="Arial"/>
          <w:b/>
          <w:bCs/>
          <w:color w:val="000000" w:themeColor="text1"/>
          <w:sz w:val="22"/>
          <w:szCs w:val="22"/>
        </w:rPr>
        <w:t xml:space="preserve">Exculpatory Language - </w:t>
      </w:r>
      <w:r w:rsidRPr="00C34201">
        <w:rPr>
          <w:rFonts w:asciiTheme="minorHAnsi" w:hAnsiTheme="minorHAnsi" w:cs="Arial"/>
          <w:bCs/>
          <w:color w:val="000000" w:themeColor="text1"/>
          <w:sz w:val="22"/>
          <w:szCs w:val="22"/>
        </w:rPr>
        <w:t xml:space="preserve">Language through which the subject is made to waive or appear to waive legal rights, or releases or appears to release the Investigator, the Sponsor, or the institution from liability for negligence. </w:t>
      </w:r>
    </w:p>
    <w:p w:rsidR="00C34201" w:rsidRDefault="00C34201" w:rsidP="00C34201">
      <w:pPr>
        <w:pStyle w:val="BodyText"/>
        <w:numPr>
          <w:ilvl w:val="0"/>
          <w:numId w:val="0"/>
        </w:numPr>
        <w:pBdr>
          <w:top w:val="single" w:sz="4" w:space="1" w:color="auto"/>
          <w:left w:val="single" w:sz="4" w:space="4" w:color="auto"/>
          <w:bottom w:val="single" w:sz="4" w:space="1" w:color="auto"/>
          <w:right w:val="single" w:sz="4" w:space="4" w:color="auto"/>
        </w:pBdr>
        <w:spacing w:line="276" w:lineRule="auto"/>
        <w:rPr>
          <w:b/>
          <w:color w:val="000000" w:themeColor="text1"/>
        </w:rPr>
      </w:pPr>
    </w:p>
    <w:p w:rsidR="00C34201" w:rsidRDefault="00C34201" w:rsidP="00C34201">
      <w:pPr>
        <w:pStyle w:val="BodyText"/>
        <w:numPr>
          <w:ilvl w:val="0"/>
          <w:numId w:val="0"/>
        </w:numPr>
        <w:pBdr>
          <w:top w:val="single" w:sz="4" w:space="1" w:color="auto"/>
          <w:left w:val="single" w:sz="4" w:space="4" w:color="auto"/>
          <w:bottom w:val="single" w:sz="4" w:space="1" w:color="auto"/>
          <w:right w:val="single" w:sz="4" w:space="4" w:color="auto"/>
        </w:pBdr>
        <w:spacing w:line="276" w:lineRule="auto"/>
        <w:rPr>
          <w:color w:val="000000" w:themeColor="text1"/>
        </w:rPr>
      </w:pPr>
      <w:r w:rsidRPr="00C34201">
        <w:rPr>
          <w:b/>
          <w:color w:val="000000" w:themeColor="text1"/>
        </w:rPr>
        <w:t>Incapacitated</w:t>
      </w:r>
      <w:r>
        <w:rPr>
          <w:b/>
          <w:color w:val="000000" w:themeColor="text1"/>
        </w:rPr>
        <w:t>:</w:t>
      </w:r>
      <w:r w:rsidRPr="0078442A">
        <w:rPr>
          <w:color w:val="000000" w:themeColor="text1"/>
        </w:rPr>
        <w:t xml:space="preserve"> </w:t>
      </w:r>
      <w:r>
        <w:rPr>
          <w:color w:val="000000" w:themeColor="text1"/>
        </w:rPr>
        <w:t xml:space="preserve"> Lack</w:t>
      </w:r>
      <w:r w:rsidRPr="0078442A">
        <w:rPr>
          <w:color w:val="000000" w:themeColor="text1"/>
        </w:rPr>
        <w:t xml:space="preserve"> </w:t>
      </w:r>
      <w:r>
        <w:rPr>
          <w:color w:val="000000" w:themeColor="text1"/>
        </w:rPr>
        <w:t xml:space="preserve">of </w:t>
      </w:r>
      <w:r w:rsidRPr="0078442A">
        <w:rPr>
          <w:color w:val="000000" w:themeColor="text1"/>
        </w:rPr>
        <w:t xml:space="preserve">ability, based on reasonable medical judgment, to understand and appreciate the nature and consequences of a treatment decision, including the significant benefits and harms of and reasonable alternatives to any proposed treatment decisions. </w:t>
      </w:r>
    </w:p>
    <w:p w:rsidR="00C34201" w:rsidRDefault="00C34201" w:rsidP="00C34201">
      <w:pPr>
        <w:pBdr>
          <w:top w:val="single" w:sz="4" w:space="1" w:color="auto"/>
          <w:left w:val="single" w:sz="4" w:space="4" w:color="auto"/>
          <w:bottom w:val="single" w:sz="4" w:space="1" w:color="auto"/>
          <w:right w:val="single" w:sz="4" w:space="4" w:color="auto"/>
        </w:pBdr>
        <w:spacing w:line="276" w:lineRule="auto"/>
        <w:outlineLvl w:val="1"/>
        <w:rPr>
          <w:rFonts w:asciiTheme="minorHAnsi" w:hAnsiTheme="minorHAnsi" w:cs="Arial"/>
          <w:b/>
          <w:bCs/>
          <w:color w:val="000000" w:themeColor="text1"/>
          <w:sz w:val="22"/>
          <w:szCs w:val="22"/>
        </w:rPr>
      </w:pPr>
    </w:p>
    <w:p w:rsidR="00C34201" w:rsidRPr="00C34201" w:rsidRDefault="00C34201" w:rsidP="00C34201">
      <w:pPr>
        <w:pBdr>
          <w:top w:val="single" w:sz="4" w:space="1" w:color="auto"/>
          <w:left w:val="single" w:sz="4" w:space="4" w:color="auto"/>
          <w:bottom w:val="single" w:sz="4" w:space="1" w:color="auto"/>
          <w:right w:val="single" w:sz="4" w:space="4" w:color="auto"/>
        </w:pBdr>
        <w:spacing w:line="276" w:lineRule="auto"/>
        <w:outlineLvl w:val="1"/>
        <w:rPr>
          <w:rFonts w:asciiTheme="minorHAnsi" w:hAnsiTheme="minorHAnsi" w:cs="Arial"/>
          <w:bCs/>
          <w:color w:val="000000" w:themeColor="text1"/>
          <w:sz w:val="22"/>
          <w:szCs w:val="22"/>
        </w:rPr>
      </w:pPr>
      <w:r w:rsidRPr="00C34201">
        <w:rPr>
          <w:rFonts w:asciiTheme="minorHAnsi" w:hAnsiTheme="minorHAnsi" w:cs="Arial"/>
          <w:b/>
          <w:bCs/>
          <w:color w:val="000000" w:themeColor="text1"/>
          <w:sz w:val="22"/>
          <w:szCs w:val="22"/>
        </w:rPr>
        <w:t>Informed Consent:</w:t>
      </w:r>
      <w:r w:rsidRPr="00C34201">
        <w:rPr>
          <w:rFonts w:asciiTheme="minorHAnsi" w:hAnsiTheme="minorHAnsi" w:cs="Arial"/>
          <w:bCs/>
          <w:color w:val="000000" w:themeColor="text1"/>
          <w:sz w:val="22"/>
          <w:szCs w:val="22"/>
        </w:rPr>
        <w:t xml:space="preserve"> A process by which a subject voluntarily confirms his or her willingness to participate in a particular trial, after having been informed of all aspects of the trial that are relevant to the subject’s decision to participate. Informed consent is documented by means of a written, signed, and dated informed consent form. </w:t>
      </w:r>
    </w:p>
    <w:p w:rsidR="00C34201" w:rsidRDefault="00C34201" w:rsidP="00C34201">
      <w:pPr>
        <w:keepNext/>
        <w:keepLines/>
        <w:pBdr>
          <w:top w:val="single" w:sz="4" w:space="1" w:color="auto"/>
          <w:left w:val="single" w:sz="4" w:space="4" w:color="auto"/>
          <w:bottom w:val="single" w:sz="4" w:space="1" w:color="auto"/>
          <w:right w:val="single" w:sz="4" w:space="4" w:color="auto"/>
        </w:pBdr>
        <w:tabs>
          <w:tab w:val="left" w:pos="2358"/>
        </w:tabs>
        <w:spacing w:line="276" w:lineRule="auto"/>
        <w:outlineLvl w:val="1"/>
        <w:rPr>
          <w:rFonts w:asciiTheme="minorHAnsi" w:hAnsiTheme="minorHAnsi" w:cs="Arial"/>
          <w:b/>
          <w:bCs/>
          <w:color w:val="000000" w:themeColor="text1"/>
          <w:sz w:val="22"/>
          <w:szCs w:val="22"/>
        </w:rPr>
      </w:pPr>
    </w:p>
    <w:p w:rsidR="00C34201" w:rsidRPr="0078442A" w:rsidRDefault="00C34201" w:rsidP="00C34201">
      <w:pPr>
        <w:keepNext/>
        <w:keepLines/>
        <w:pBdr>
          <w:top w:val="single" w:sz="4" w:space="1" w:color="auto"/>
          <w:left w:val="single" w:sz="4" w:space="4" w:color="auto"/>
          <w:bottom w:val="single" w:sz="4" w:space="1" w:color="auto"/>
          <w:right w:val="single" w:sz="4" w:space="4" w:color="auto"/>
        </w:pBdr>
        <w:tabs>
          <w:tab w:val="left" w:pos="2358"/>
        </w:tabs>
        <w:spacing w:line="276" w:lineRule="auto"/>
        <w:outlineLvl w:val="1"/>
        <w:rPr>
          <w:rFonts w:asciiTheme="minorHAnsi" w:hAnsiTheme="minorHAnsi" w:cs="Arial"/>
          <w:bCs/>
          <w:color w:val="000000" w:themeColor="text1"/>
          <w:sz w:val="22"/>
          <w:szCs w:val="22"/>
        </w:rPr>
      </w:pPr>
      <w:r w:rsidRPr="00C34201">
        <w:rPr>
          <w:rFonts w:asciiTheme="minorHAnsi" w:hAnsiTheme="minorHAnsi" w:cs="Arial"/>
          <w:b/>
          <w:bCs/>
          <w:color w:val="000000" w:themeColor="text1"/>
          <w:sz w:val="22"/>
          <w:szCs w:val="22"/>
        </w:rPr>
        <w:t>Legally Acceptable Representative</w:t>
      </w:r>
      <w:r>
        <w:rPr>
          <w:rFonts w:asciiTheme="minorHAnsi" w:hAnsiTheme="minorHAnsi" w:cs="Arial"/>
          <w:b/>
          <w:bCs/>
          <w:color w:val="000000" w:themeColor="text1"/>
          <w:sz w:val="22"/>
          <w:szCs w:val="22"/>
        </w:rPr>
        <w:t xml:space="preserve">: </w:t>
      </w:r>
      <w:r w:rsidRPr="00C34201">
        <w:rPr>
          <w:rFonts w:asciiTheme="minorHAnsi" w:hAnsiTheme="minorHAnsi" w:cs="Arial"/>
          <w:bCs/>
          <w:color w:val="000000" w:themeColor="text1"/>
          <w:sz w:val="22"/>
          <w:szCs w:val="22"/>
        </w:rPr>
        <w:t>A</w:t>
      </w:r>
      <w:r w:rsidRPr="0078442A">
        <w:rPr>
          <w:rFonts w:asciiTheme="minorHAnsi" w:hAnsiTheme="minorHAnsi" w:cs="Arial"/>
          <w:bCs/>
          <w:color w:val="000000" w:themeColor="text1"/>
          <w:sz w:val="22"/>
          <w:szCs w:val="22"/>
        </w:rPr>
        <w:t>n individual or judicial or other body authorized under applicable law to consent on behalf of a prospective subject to the subject’s participation in the procedure(s) involved in the research.</w:t>
      </w:r>
    </w:p>
    <w:p w:rsidR="00C34201" w:rsidRPr="0078442A" w:rsidRDefault="00C34201" w:rsidP="00C34201">
      <w:pPr>
        <w:pStyle w:val="BodyText"/>
        <w:numPr>
          <w:ilvl w:val="0"/>
          <w:numId w:val="0"/>
        </w:numPr>
        <w:pBdr>
          <w:top w:val="single" w:sz="4" w:space="1" w:color="auto"/>
          <w:left w:val="single" w:sz="4" w:space="4" w:color="auto"/>
          <w:bottom w:val="single" w:sz="4" w:space="1" w:color="auto"/>
          <w:right w:val="single" w:sz="4" w:space="4" w:color="auto"/>
        </w:pBdr>
        <w:spacing w:line="276" w:lineRule="auto"/>
        <w:rPr>
          <w:color w:val="000000" w:themeColor="text1"/>
        </w:rPr>
      </w:pPr>
    </w:p>
    <w:p w:rsidR="00772ABF" w:rsidRPr="0078442A" w:rsidRDefault="00772ABF" w:rsidP="0078442A">
      <w:pPr>
        <w:pStyle w:val="BodyText"/>
        <w:numPr>
          <w:ilvl w:val="0"/>
          <w:numId w:val="0"/>
        </w:numPr>
        <w:spacing w:line="276" w:lineRule="auto"/>
        <w:rPr>
          <w:rFonts w:eastAsia="Times New Roman"/>
          <w:color w:val="000000" w:themeColor="text1"/>
        </w:rPr>
      </w:pPr>
    </w:p>
    <w:p w:rsidR="00D61454" w:rsidRPr="0078442A" w:rsidRDefault="001E76D0" w:rsidP="0078442A">
      <w:pPr>
        <w:pStyle w:val="BodyText"/>
        <w:numPr>
          <w:ilvl w:val="0"/>
          <w:numId w:val="0"/>
        </w:numPr>
        <w:spacing w:line="276" w:lineRule="auto"/>
        <w:rPr>
          <w:rFonts w:ascii="Calibri" w:hAnsi="Calibri"/>
          <w:color w:val="000000" w:themeColor="text1"/>
        </w:rPr>
      </w:pPr>
      <w:r w:rsidRPr="001E76D0">
        <w:rPr>
          <w:rFonts w:ascii="Calibri" w:hAnsi="Calibri"/>
          <w:b/>
          <w:color w:val="000000" w:themeColor="text1"/>
        </w:rPr>
        <w:t>Assessing Competence</w:t>
      </w:r>
      <w:r>
        <w:rPr>
          <w:rFonts w:ascii="Calibri" w:hAnsi="Calibri"/>
          <w:color w:val="000000" w:themeColor="text1"/>
        </w:rPr>
        <w:t xml:space="preserve">: </w:t>
      </w:r>
      <w:r w:rsidR="00BE3152" w:rsidRPr="0078442A">
        <w:rPr>
          <w:rFonts w:ascii="Calibri" w:hAnsi="Calibri"/>
          <w:color w:val="000000" w:themeColor="text1"/>
        </w:rPr>
        <w:t xml:space="preserve">As a general rule, all adults, regardless of their diagnosis or condition, should be presumed to be competent to consent unless there is evidence of a serious mental disability that would impair reasoning or judgment. Even those who do have a diagnosed mental disorder may be perfectly able to understand the concept of being a research volunteer, and capable of consenting to or refusing participation. Mental disability alone should not disqualify a person from consenting to participate in research; rather, there should be specific </w:t>
      </w:r>
      <w:r w:rsidR="00D61454" w:rsidRPr="0078442A">
        <w:rPr>
          <w:rFonts w:ascii="Calibri" w:hAnsi="Calibri"/>
          <w:color w:val="000000" w:themeColor="text1"/>
        </w:rPr>
        <w:t xml:space="preserve">evaluation to determine the </w:t>
      </w:r>
      <w:r w:rsidR="001442A9" w:rsidRPr="0078442A">
        <w:rPr>
          <w:rFonts w:ascii="Calibri" w:hAnsi="Calibri"/>
          <w:color w:val="000000" w:themeColor="text1"/>
        </w:rPr>
        <w:t>individual</w:t>
      </w:r>
      <w:r w:rsidR="001442A9">
        <w:rPr>
          <w:rFonts w:ascii="Calibri" w:hAnsi="Calibri"/>
          <w:color w:val="000000" w:themeColor="text1"/>
        </w:rPr>
        <w:t>’s</w:t>
      </w:r>
      <w:r w:rsidR="00D61454" w:rsidRPr="0078442A">
        <w:rPr>
          <w:rFonts w:ascii="Calibri" w:hAnsi="Calibri"/>
          <w:color w:val="000000" w:themeColor="text1"/>
        </w:rPr>
        <w:t xml:space="preserve"> understanding of the information relevant to the</w:t>
      </w:r>
      <w:r w:rsidR="00D61454" w:rsidRPr="0078442A">
        <w:rPr>
          <w:rFonts w:ascii="Calibri" w:hAnsi="Calibri"/>
          <w:color w:val="000000" w:themeColor="text1"/>
          <w:vertAlign w:val="superscript"/>
        </w:rPr>
        <w:t> </w:t>
      </w:r>
      <w:r w:rsidR="00D61454" w:rsidRPr="0078442A">
        <w:rPr>
          <w:rFonts w:ascii="Calibri" w:hAnsi="Calibri"/>
          <w:color w:val="000000" w:themeColor="text1"/>
        </w:rPr>
        <w:t>decision; appreciating the information (applying the information</w:t>
      </w:r>
      <w:r w:rsidR="00D61454" w:rsidRPr="0078442A">
        <w:rPr>
          <w:rFonts w:ascii="Calibri" w:hAnsi="Calibri"/>
          <w:color w:val="000000" w:themeColor="text1"/>
          <w:vertAlign w:val="superscript"/>
        </w:rPr>
        <w:t> </w:t>
      </w:r>
      <w:r w:rsidR="00D61454" w:rsidRPr="0078442A">
        <w:rPr>
          <w:rFonts w:ascii="Calibri" w:hAnsi="Calibri"/>
          <w:color w:val="000000" w:themeColor="text1"/>
        </w:rPr>
        <w:t>to one’s own situation); using the information in reasoning;</w:t>
      </w:r>
      <w:r w:rsidR="00D61454" w:rsidRPr="0078442A">
        <w:rPr>
          <w:color w:val="000000" w:themeColor="text1"/>
        </w:rPr>
        <w:t xml:space="preserve"> </w:t>
      </w:r>
      <w:r w:rsidR="00D61454" w:rsidRPr="0078442A">
        <w:rPr>
          <w:rFonts w:ascii="Calibri" w:hAnsi="Calibri"/>
          <w:color w:val="000000" w:themeColor="text1"/>
        </w:rPr>
        <w:t>and expressing a consistent choice.</w:t>
      </w:r>
    </w:p>
    <w:p w:rsidR="003C2562" w:rsidRPr="0078442A" w:rsidRDefault="003C2562" w:rsidP="0078442A">
      <w:pPr>
        <w:pStyle w:val="BodyText"/>
        <w:numPr>
          <w:ilvl w:val="0"/>
          <w:numId w:val="0"/>
        </w:numPr>
        <w:spacing w:line="276" w:lineRule="auto"/>
        <w:rPr>
          <w:color w:val="000000" w:themeColor="text1"/>
        </w:rPr>
      </w:pPr>
    </w:p>
    <w:p w:rsidR="006343A5" w:rsidRPr="0078442A" w:rsidRDefault="006343A5" w:rsidP="0078442A">
      <w:pPr>
        <w:pStyle w:val="BodyText"/>
        <w:numPr>
          <w:ilvl w:val="0"/>
          <w:numId w:val="0"/>
        </w:numPr>
        <w:spacing w:line="276" w:lineRule="auto"/>
        <w:rPr>
          <w:rFonts w:ascii="Calibri" w:hAnsi="Calibri"/>
          <w:bCs/>
          <w:color w:val="000000" w:themeColor="text1"/>
        </w:rPr>
      </w:pPr>
      <w:r w:rsidRPr="0078442A">
        <w:rPr>
          <w:rFonts w:ascii="Calibri" w:hAnsi="Calibri"/>
          <w:color w:val="000000" w:themeColor="text1"/>
        </w:rPr>
        <w:t>In research that involves cognitively impaired persons, CPHS may set qualifications for the person making assessment such as requiring a</w:t>
      </w:r>
      <w:r w:rsidRPr="0078442A">
        <w:rPr>
          <w:color w:val="000000" w:themeColor="text1"/>
        </w:rPr>
        <w:t>n independ</w:t>
      </w:r>
      <w:r w:rsidR="007D017B" w:rsidRPr="0078442A">
        <w:rPr>
          <w:color w:val="000000" w:themeColor="text1"/>
        </w:rPr>
        <w:t>e</w:t>
      </w:r>
      <w:r w:rsidRPr="0078442A">
        <w:rPr>
          <w:color w:val="000000" w:themeColor="text1"/>
        </w:rPr>
        <w:t>nt</w:t>
      </w:r>
      <w:r w:rsidRPr="0078442A">
        <w:rPr>
          <w:rFonts w:ascii="Calibri" w:hAnsi="Calibri"/>
          <w:color w:val="000000" w:themeColor="text1"/>
        </w:rPr>
        <w:t xml:space="preserve"> psychiatrist or geriatrician to make this assessment. Th</w:t>
      </w:r>
      <w:r w:rsidR="007D017B" w:rsidRPr="0078442A">
        <w:rPr>
          <w:color w:val="000000" w:themeColor="text1"/>
        </w:rPr>
        <w:t xml:space="preserve">e </w:t>
      </w:r>
      <w:r w:rsidR="001E76D0" w:rsidRPr="0078442A">
        <w:rPr>
          <w:color w:val="000000" w:themeColor="text1"/>
        </w:rPr>
        <w:t>independent</w:t>
      </w:r>
      <w:r w:rsidRPr="0078442A">
        <w:rPr>
          <w:color w:val="000000" w:themeColor="text1"/>
        </w:rPr>
        <w:t xml:space="preserve"> </w:t>
      </w:r>
      <w:r w:rsidRPr="0078442A">
        <w:rPr>
          <w:rFonts w:ascii="Calibri" w:hAnsi="Calibri"/>
          <w:color w:val="000000" w:themeColor="text1"/>
        </w:rPr>
        <w:t xml:space="preserve">assessment should be documented by a formal note that is dated and signed. </w:t>
      </w:r>
    </w:p>
    <w:p w:rsidR="006343A5" w:rsidRPr="0078442A" w:rsidRDefault="006343A5" w:rsidP="0078442A">
      <w:pPr>
        <w:pStyle w:val="ListParagraph"/>
        <w:spacing w:line="276" w:lineRule="auto"/>
        <w:ind w:left="0"/>
        <w:rPr>
          <w:color w:val="000000" w:themeColor="text1"/>
        </w:rPr>
      </w:pPr>
    </w:p>
    <w:p w:rsidR="00A9113F" w:rsidRDefault="001E76D0" w:rsidP="0078442A">
      <w:pPr>
        <w:pStyle w:val="BodyText"/>
        <w:numPr>
          <w:ilvl w:val="0"/>
          <w:numId w:val="0"/>
        </w:numPr>
        <w:spacing w:line="276" w:lineRule="auto"/>
        <w:rPr>
          <w:color w:val="000000" w:themeColor="text1"/>
        </w:rPr>
      </w:pPr>
      <w:r w:rsidRPr="001E76D0">
        <w:rPr>
          <w:b/>
          <w:color w:val="000000" w:themeColor="text1"/>
        </w:rPr>
        <w:lastRenderedPageBreak/>
        <w:t xml:space="preserve">Surrogate Consent: </w:t>
      </w:r>
      <w:r w:rsidR="00A9113F" w:rsidRPr="0078442A">
        <w:rPr>
          <w:color w:val="000000" w:themeColor="text1"/>
        </w:rPr>
        <w:t xml:space="preserve">Consent may not be obtained from legally authorized representative unless explicitly approved by CPHS.  </w:t>
      </w:r>
      <w:r w:rsidR="003C2562" w:rsidRPr="0078442A">
        <w:rPr>
          <w:color w:val="000000" w:themeColor="text1"/>
        </w:rPr>
        <w:t>Texas law allows surrogate consent for treatment for an adult patient who is comatose, incapacitated, or otherwise mentally or physically incapable of communication.</w:t>
      </w:r>
      <w:r w:rsidR="00EF1D4B" w:rsidRPr="0078442A">
        <w:rPr>
          <w:color w:val="000000" w:themeColor="text1"/>
        </w:rPr>
        <w:t xml:space="preserve"> </w:t>
      </w:r>
    </w:p>
    <w:p w:rsidR="00A9113F" w:rsidRDefault="00A9113F" w:rsidP="0078442A">
      <w:pPr>
        <w:pStyle w:val="BodyText"/>
        <w:numPr>
          <w:ilvl w:val="0"/>
          <w:numId w:val="0"/>
        </w:numPr>
        <w:spacing w:line="276" w:lineRule="auto"/>
        <w:rPr>
          <w:color w:val="000000" w:themeColor="text1"/>
        </w:rPr>
      </w:pPr>
    </w:p>
    <w:p w:rsidR="00EF1D4B" w:rsidRPr="0078442A" w:rsidRDefault="006343A5" w:rsidP="0078442A">
      <w:pPr>
        <w:pStyle w:val="BodyText"/>
        <w:numPr>
          <w:ilvl w:val="0"/>
          <w:numId w:val="0"/>
        </w:numPr>
        <w:spacing w:line="276" w:lineRule="auto"/>
        <w:rPr>
          <w:color w:val="000000" w:themeColor="text1"/>
        </w:rPr>
      </w:pPr>
      <w:r w:rsidRPr="0078442A">
        <w:rPr>
          <w:color w:val="000000" w:themeColor="text1"/>
        </w:rPr>
        <w:t xml:space="preserve">When the CPHS has approved obtaining consent </w:t>
      </w:r>
      <w:r w:rsidR="007D017B" w:rsidRPr="0078442A">
        <w:rPr>
          <w:color w:val="000000" w:themeColor="text1"/>
        </w:rPr>
        <w:t>from</w:t>
      </w:r>
      <w:r w:rsidRPr="0078442A">
        <w:rPr>
          <w:color w:val="000000" w:themeColor="text1"/>
        </w:rPr>
        <w:t xml:space="preserve"> legally authorized representatives, the investigators should obtain consent either from the patient’s </w:t>
      </w:r>
      <w:r w:rsidR="00EF1D4B" w:rsidRPr="0078442A">
        <w:rPr>
          <w:color w:val="000000" w:themeColor="text1"/>
        </w:rPr>
        <w:t xml:space="preserve">legal guardian with the authority to make decisions regarding medical </w:t>
      </w:r>
      <w:r w:rsidR="001E76D0" w:rsidRPr="0078442A">
        <w:rPr>
          <w:color w:val="000000" w:themeColor="text1"/>
        </w:rPr>
        <w:t>treatment</w:t>
      </w:r>
      <w:r w:rsidRPr="0078442A">
        <w:rPr>
          <w:color w:val="000000" w:themeColor="text1"/>
        </w:rPr>
        <w:t xml:space="preserve"> or </w:t>
      </w:r>
      <w:r w:rsidR="00EF1D4B" w:rsidRPr="0078442A">
        <w:rPr>
          <w:color w:val="000000" w:themeColor="text1"/>
        </w:rPr>
        <w:t>a person designated as a surrogate decision-maker by the patient in a medical power o</w:t>
      </w:r>
      <w:r w:rsidR="007D017B" w:rsidRPr="0078442A">
        <w:rPr>
          <w:color w:val="000000" w:themeColor="text1"/>
        </w:rPr>
        <w:t>f</w:t>
      </w:r>
      <w:r w:rsidRPr="0078442A">
        <w:rPr>
          <w:color w:val="000000" w:themeColor="text1"/>
        </w:rPr>
        <w:t xml:space="preserve"> attorney or Advance Directive. </w:t>
      </w:r>
      <w:r w:rsidR="00EF1D4B" w:rsidRPr="0078442A">
        <w:rPr>
          <w:color w:val="000000" w:themeColor="text1"/>
        </w:rPr>
        <w:t>In the absence of either of the above, an adult surrogate from the following list, in order of priority, who is available after a reasonably diligent inquiry, may consent on behalf of the patient:</w:t>
      </w:r>
      <w:r w:rsidR="00EF1D4B" w:rsidRPr="0078442A">
        <w:rPr>
          <w:rStyle w:val="FootnoteReference"/>
          <w:rFonts w:cs="Arial"/>
          <w:color w:val="000000" w:themeColor="text1"/>
        </w:rPr>
        <w:t xml:space="preserve"> </w:t>
      </w:r>
    </w:p>
    <w:p w:rsidR="00F671BF" w:rsidRPr="0078442A" w:rsidRDefault="00F671BF" w:rsidP="001E76D0">
      <w:pPr>
        <w:pStyle w:val="ListParagraph"/>
        <w:numPr>
          <w:ilvl w:val="0"/>
          <w:numId w:val="32"/>
        </w:numPr>
        <w:spacing w:line="276" w:lineRule="auto"/>
        <w:rPr>
          <w:rFonts w:asciiTheme="minorHAnsi" w:hAnsiTheme="minorHAnsi"/>
          <w:color w:val="000000" w:themeColor="text1"/>
          <w:sz w:val="22"/>
          <w:szCs w:val="22"/>
        </w:rPr>
      </w:pPr>
      <w:r w:rsidRPr="0078442A">
        <w:rPr>
          <w:rFonts w:asciiTheme="minorHAnsi" w:hAnsiTheme="minorHAnsi"/>
          <w:color w:val="000000" w:themeColor="text1"/>
          <w:sz w:val="22"/>
          <w:szCs w:val="22"/>
        </w:rPr>
        <w:t>the patient's spouse (including a common law spouse);</w:t>
      </w:r>
    </w:p>
    <w:p w:rsidR="00F671BF" w:rsidRPr="0078442A" w:rsidRDefault="00F671BF" w:rsidP="001E76D0">
      <w:pPr>
        <w:pStyle w:val="ListParagraph"/>
        <w:numPr>
          <w:ilvl w:val="0"/>
          <w:numId w:val="32"/>
        </w:numPr>
        <w:spacing w:line="276" w:lineRule="auto"/>
        <w:rPr>
          <w:rFonts w:asciiTheme="minorHAnsi" w:hAnsiTheme="minorHAnsi"/>
          <w:color w:val="000000" w:themeColor="text1"/>
          <w:sz w:val="22"/>
          <w:szCs w:val="22"/>
        </w:rPr>
      </w:pPr>
      <w:r w:rsidRPr="0078442A">
        <w:rPr>
          <w:rFonts w:asciiTheme="minorHAnsi" w:hAnsiTheme="minorHAnsi"/>
          <w:color w:val="000000" w:themeColor="text1"/>
          <w:sz w:val="22"/>
          <w:szCs w:val="22"/>
        </w:rPr>
        <w:t>an adult child of the patient who has the waiver and consent of all other qualified adult children of the patient to act as the sole decision-maker;</w:t>
      </w:r>
    </w:p>
    <w:p w:rsidR="00F671BF" w:rsidRPr="0078442A" w:rsidRDefault="00F671BF" w:rsidP="001E76D0">
      <w:pPr>
        <w:pStyle w:val="ListParagraph"/>
        <w:numPr>
          <w:ilvl w:val="0"/>
          <w:numId w:val="32"/>
        </w:numPr>
        <w:spacing w:line="276" w:lineRule="auto"/>
        <w:rPr>
          <w:rFonts w:asciiTheme="minorHAnsi" w:hAnsiTheme="minorHAnsi"/>
          <w:color w:val="000000" w:themeColor="text1"/>
          <w:sz w:val="22"/>
          <w:szCs w:val="22"/>
        </w:rPr>
      </w:pPr>
      <w:r w:rsidRPr="0078442A">
        <w:rPr>
          <w:rFonts w:asciiTheme="minorHAnsi" w:hAnsiTheme="minorHAnsi"/>
          <w:color w:val="000000" w:themeColor="text1"/>
          <w:sz w:val="22"/>
          <w:szCs w:val="22"/>
        </w:rPr>
        <w:t>a majority of the patient's reasonably available adult children;</w:t>
      </w:r>
    </w:p>
    <w:p w:rsidR="00EF1D4B" w:rsidRPr="0078442A" w:rsidRDefault="00EF1D4B" w:rsidP="001E76D0">
      <w:pPr>
        <w:pStyle w:val="ListParagraph"/>
        <w:numPr>
          <w:ilvl w:val="0"/>
          <w:numId w:val="32"/>
        </w:numPr>
        <w:spacing w:line="276" w:lineRule="auto"/>
        <w:rPr>
          <w:rFonts w:asciiTheme="minorHAnsi" w:hAnsiTheme="minorHAnsi"/>
          <w:color w:val="000000" w:themeColor="text1"/>
          <w:sz w:val="22"/>
          <w:szCs w:val="22"/>
        </w:rPr>
      </w:pPr>
      <w:r w:rsidRPr="0078442A">
        <w:rPr>
          <w:rFonts w:asciiTheme="minorHAnsi" w:hAnsiTheme="minorHAnsi"/>
          <w:color w:val="000000" w:themeColor="text1"/>
          <w:sz w:val="22"/>
          <w:szCs w:val="22"/>
        </w:rPr>
        <w:t xml:space="preserve">the patient's parents; or </w:t>
      </w:r>
    </w:p>
    <w:p w:rsidR="00EF1D4B" w:rsidRPr="0078442A" w:rsidRDefault="00EF1D4B" w:rsidP="001E76D0">
      <w:pPr>
        <w:pStyle w:val="ListParagraph"/>
        <w:numPr>
          <w:ilvl w:val="0"/>
          <w:numId w:val="32"/>
        </w:numPr>
        <w:spacing w:line="276" w:lineRule="auto"/>
        <w:rPr>
          <w:rFonts w:asciiTheme="minorHAnsi" w:hAnsiTheme="minorHAnsi"/>
          <w:color w:val="000000" w:themeColor="text1"/>
          <w:sz w:val="22"/>
          <w:szCs w:val="22"/>
        </w:rPr>
      </w:pPr>
      <w:proofErr w:type="gramStart"/>
      <w:r w:rsidRPr="0078442A">
        <w:rPr>
          <w:rFonts w:asciiTheme="minorHAnsi" w:hAnsiTheme="minorHAnsi"/>
          <w:color w:val="000000" w:themeColor="text1"/>
          <w:sz w:val="22"/>
          <w:szCs w:val="22"/>
        </w:rPr>
        <w:t>the</w:t>
      </w:r>
      <w:proofErr w:type="gramEnd"/>
      <w:r w:rsidRPr="0078442A">
        <w:rPr>
          <w:rFonts w:asciiTheme="minorHAnsi" w:hAnsiTheme="minorHAnsi"/>
          <w:color w:val="000000" w:themeColor="text1"/>
          <w:sz w:val="22"/>
          <w:szCs w:val="22"/>
        </w:rPr>
        <w:t xml:space="preserve"> individual clearly identified to act for the patient by the patient before the patient became incapacitated, or the patient's nearest living relative. </w:t>
      </w:r>
    </w:p>
    <w:p w:rsidR="00B9392E" w:rsidRPr="0078442A" w:rsidRDefault="00B9392E" w:rsidP="0078442A">
      <w:pPr>
        <w:pStyle w:val="ListParagraph"/>
        <w:spacing w:line="276" w:lineRule="auto"/>
        <w:ind w:left="0"/>
        <w:rPr>
          <w:rFonts w:asciiTheme="minorHAnsi" w:hAnsiTheme="minorHAnsi"/>
          <w:color w:val="000000" w:themeColor="text1"/>
          <w:sz w:val="22"/>
          <w:szCs w:val="22"/>
        </w:rPr>
      </w:pPr>
    </w:p>
    <w:p w:rsidR="006343A5" w:rsidRPr="0078442A" w:rsidRDefault="006343A5" w:rsidP="0078442A">
      <w:pPr>
        <w:pStyle w:val="BodyText"/>
        <w:numPr>
          <w:ilvl w:val="0"/>
          <w:numId w:val="0"/>
        </w:numPr>
        <w:spacing w:line="276" w:lineRule="auto"/>
        <w:rPr>
          <w:color w:val="000000" w:themeColor="text1"/>
        </w:rPr>
      </w:pPr>
      <w:r w:rsidRPr="0078442A">
        <w:rPr>
          <w:color w:val="000000" w:themeColor="text1"/>
        </w:rPr>
        <w:t xml:space="preserve">If a dispute arises as to the right of a party to act as a surrogate decision maker, it may only be resolved by a court of record having jurisdiction under Chapter V, Texas Probate Code.  Thus, researchers should not enroll a person in a trial if a dispute arises as to who has the authority to give consent and there is no court order granting such authority to someone (or some entity). There are some limitations on the authority of a surrogate decision-maker.  All decisions must be based on knowledge of what the patient would desire, if known. Someone higher on the list can choose not to be the surrogate, in which case you would move on to the next person in the order of priority, however that person may not appoint someone else as the surrogate decision maker.  Furthermore, health care providers are obligated to </w:t>
      </w:r>
      <w:r w:rsidR="005E3976" w:rsidRPr="0078442A">
        <w:rPr>
          <w:color w:val="000000" w:themeColor="text1"/>
        </w:rPr>
        <w:t xml:space="preserve">respect </w:t>
      </w:r>
      <w:r w:rsidRPr="0078442A">
        <w:rPr>
          <w:color w:val="000000" w:themeColor="text1"/>
        </w:rPr>
        <w:t>the wishes of a patient that are delineated in an Advance Directive or a Declaration for Mental Health Treatment, unless there are statutory provisions granting deviations from said documents.</w:t>
      </w:r>
    </w:p>
    <w:p w:rsidR="006343A5" w:rsidRPr="0078442A" w:rsidRDefault="006343A5" w:rsidP="0078442A">
      <w:pPr>
        <w:pStyle w:val="BodyText"/>
        <w:numPr>
          <w:ilvl w:val="0"/>
          <w:numId w:val="0"/>
        </w:numPr>
        <w:spacing w:line="276" w:lineRule="auto"/>
        <w:rPr>
          <w:color w:val="000000" w:themeColor="text1"/>
        </w:rPr>
      </w:pPr>
    </w:p>
    <w:p w:rsidR="00AF6D0E" w:rsidRPr="0078442A" w:rsidRDefault="005D3D3E" w:rsidP="0078442A">
      <w:pPr>
        <w:pStyle w:val="BodyText"/>
        <w:numPr>
          <w:ilvl w:val="0"/>
          <w:numId w:val="0"/>
        </w:numPr>
        <w:spacing w:line="276" w:lineRule="auto"/>
        <w:rPr>
          <w:color w:val="000000" w:themeColor="text1"/>
        </w:rPr>
      </w:pPr>
      <w:r>
        <w:rPr>
          <w:b/>
          <w:color w:val="000000" w:themeColor="text1"/>
        </w:rPr>
        <w:t xml:space="preserve">Consent Process: </w:t>
      </w:r>
      <w:r w:rsidR="00303E33" w:rsidRPr="0078442A">
        <w:rPr>
          <w:color w:val="000000" w:themeColor="text1"/>
        </w:rPr>
        <w:t xml:space="preserve">If an individual decides to participate in a research study, the person obtaining consent should be </w:t>
      </w:r>
      <w:r w:rsidR="00F67831" w:rsidRPr="0078442A">
        <w:rPr>
          <w:color w:val="000000" w:themeColor="text1"/>
        </w:rPr>
        <w:t>satisfied</w:t>
      </w:r>
      <w:r w:rsidR="00303E33" w:rsidRPr="0078442A">
        <w:rPr>
          <w:color w:val="000000" w:themeColor="text1"/>
        </w:rPr>
        <w:t xml:space="preserve"> that the individual has a clear understanding of the research. One method of ensuring that the indi</w:t>
      </w:r>
      <w:r w:rsidR="00F67831" w:rsidRPr="0078442A">
        <w:rPr>
          <w:color w:val="000000" w:themeColor="text1"/>
        </w:rPr>
        <w:t>vid</w:t>
      </w:r>
      <w:r w:rsidR="00303E33" w:rsidRPr="0078442A">
        <w:rPr>
          <w:color w:val="000000" w:themeColor="text1"/>
        </w:rPr>
        <w:t>ual understood the research is to ask questions about the research and judge whether the potential participant has a clear understanding. If</w:t>
      </w:r>
      <w:r w:rsidR="004A0349" w:rsidRPr="0078442A">
        <w:rPr>
          <w:color w:val="000000" w:themeColor="text1"/>
        </w:rPr>
        <w:t xml:space="preserve"> necessary, the person obtaining</w:t>
      </w:r>
      <w:r w:rsidR="00303E33" w:rsidRPr="0078442A">
        <w:rPr>
          <w:color w:val="000000" w:themeColor="text1"/>
        </w:rPr>
        <w:t xml:space="preserve"> consent should go over the areas that the potential participant is unclear about. </w:t>
      </w:r>
      <w:r w:rsidR="00AF6D0E" w:rsidRPr="0078442A">
        <w:rPr>
          <w:color w:val="000000" w:themeColor="text1"/>
        </w:rPr>
        <w:t xml:space="preserve">When possible, assent should be obtained from the research subject. </w:t>
      </w:r>
    </w:p>
    <w:p w:rsidR="00303E33" w:rsidRPr="0078442A" w:rsidRDefault="00303E33" w:rsidP="0078442A">
      <w:pPr>
        <w:pStyle w:val="BodyText"/>
        <w:numPr>
          <w:ilvl w:val="0"/>
          <w:numId w:val="0"/>
        </w:numPr>
        <w:spacing w:line="276" w:lineRule="auto"/>
        <w:rPr>
          <w:color w:val="000000" w:themeColor="text1"/>
        </w:rPr>
      </w:pPr>
    </w:p>
    <w:p w:rsidR="00303E33" w:rsidRPr="0078442A" w:rsidRDefault="005D3D3E" w:rsidP="0078442A">
      <w:pPr>
        <w:pStyle w:val="BodyText"/>
        <w:numPr>
          <w:ilvl w:val="0"/>
          <w:numId w:val="0"/>
        </w:numPr>
        <w:spacing w:line="276" w:lineRule="auto"/>
        <w:rPr>
          <w:color w:val="000000" w:themeColor="text1"/>
        </w:rPr>
      </w:pPr>
      <w:r w:rsidRPr="005D3D3E">
        <w:rPr>
          <w:b/>
          <w:color w:val="000000" w:themeColor="text1"/>
        </w:rPr>
        <w:t xml:space="preserve">Consent Documentation: </w:t>
      </w:r>
      <w:r w:rsidR="005E4813" w:rsidRPr="0078442A">
        <w:rPr>
          <w:color w:val="000000" w:themeColor="text1"/>
        </w:rPr>
        <w:t xml:space="preserve">When </w:t>
      </w:r>
      <w:r w:rsidR="006343A5" w:rsidRPr="0078442A">
        <w:rPr>
          <w:color w:val="000000" w:themeColor="text1"/>
        </w:rPr>
        <w:t xml:space="preserve">an LAR </w:t>
      </w:r>
      <w:r w:rsidR="00804448" w:rsidRPr="0078442A">
        <w:rPr>
          <w:color w:val="000000" w:themeColor="text1"/>
        </w:rPr>
        <w:t xml:space="preserve">agrees to </w:t>
      </w:r>
      <w:r w:rsidR="006343A5" w:rsidRPr="0078442A">
        <w:rPr>
          <w:color w:val="000000" w:themeColor="text1"/>
        </w:rPr>
        <w:t>the participation of the subject</w:t>
      </w:r>
      <w:r w:rsidR="00804448" w:rsidRPr="0078442A">
        <w:rPr>
          <w:color w:val="000000" w:themeColor="text1"/>
        </w:rPr>
        <w:t xml:space="preserve"> in a research study, the </w:t>
      </w:r>
      <w:r w:rsidR="006343A5" w:rsidRPr="0078442A">
        <w:rPr>
          <w:color w:val="000000" w:themeColor="text1"/>
        </w:rPr>
        <w:t xml:space="preserve">LAR and </w:t>
      </w:r>
      <w:r w:rsidR="005E4813" w:rsidRPr="0078442A">
        <w:rPr>
          <w:color w:val="000000" w:themeColor="text1"/>
        </w:rPr>
        <w:t xml:space="preserve">the person obtaining consent </w:t>
      </w:r>
      <w:r w:rsidR="006343A5" w:rsidRPr="0078442A">
        <w:rPr>
          <w:color w:val="000000" w:themeColor="text1"/>
        </w:rPr>
        <w:t xml:space="preserve">should </w:t>
      </w:r>
      <w:r w:rsidR="005E4813" w:rsidRPr="0078442A">
        <w:rPr>
          <w:color w:val="000000" w:themeColor="text1"/>
        </w:rPr>
        <w:t>personally sig</w:t>
      </w:r>
      <w:r w:rsidR="006343A5" w:rsidRPr="0078442A">
        <w:rPr>
          <w:color w:val="000000" w:themeColor="text1"/>
        </w:rPr>
        <w:t>n and date the consent document</w:t>
      </w:r>
      <w:r w:rsidR="005E4813" w:rsidRPr="0078442A">
        <w:rPr>
          <w:color w:val="000000" w:themeColor="text1"/>
        </w:rPr>
        <w:t xml:space="preserve">.  A copy of the signed consent document should be given to the </w:t>
      </w:r>
      <w:r w:rsidR="006343A5" w:rsidRPr="0078442A">
        <w:rPr>
          <w:color w:val="000000" w:themeColor="text1"/>
        </w:rPr>
        <w:t>LAR</w:t>
      </w:r>
      <w:r w:rsidR="005E4813" w:rsidRPr="0078442A">
        <w:rPr>
          <w:color w:val="000000" w:themeColor="text1"/>
        </w:rPr>
        <w:t xml:space="preserve">. </w:t>
      </w:r>
      <w:r w:rsidR="006343A5" w:rsidRPr="0078442A">
        <w:rPr>
          <w:color w:val="000000" w:themeColor="text1"/>
        </w:rPr>
        <w:t xml:space="preserve">The investigator or designee should document the consent process in the source document. </w:t>
      </w:r>
      <w:r w:rsidR="00506496" w:rsidRPr="0078442A">
        <w:rPr>
          <w:color w:val="000000" w:themeColor="text1"/>
        </w:rPr>
        <w:t xml:space="preserve">In addition to the information documented in the medical records as per SOP Consent Process and Documentation, the person obtaining consent </w:t>
      </w:r>
      <w:r w:rsidR="00506496" w:rsidRPr="0078442A">
        <w:rPr>
          <w:color w:val="000000" w:themeColor="text1"/>
        </w:rPr>
        <w:lastRenderedPageBreak/>
        <w:t xml:space="preserve">should also document the relationship of the LAR to the subject and how the individual was determined to be the LAR of the subject. </w:t>
      </w:r>
    </w:p>
    <w:p w:rsidR="00AF6D0E" w:rsidRPr="0078442A" w:rsidRDefault="00AF6D0E" w:rsidP="0078442A">
      <w:pPr>
        <w:pStyle w:val="ListParagraph"/>
        <w:spacing w:line="276" w:lineRule="auto"/>
        <w:ind w:left="0"/>
        <w:rPr>
          <w:color w:val="000000" w:themeColor="text1"/>
        </w:rPr>
      </w:pPr>
    </w:p>
    <w:p w:rsidR="007F50CF" w:rsidRPr="0078442A" w:rsidRDefault="005D3D3E" w:rsidP="0078442A">
      <w:pPr>
        <w:pStyle w:val="BodyText"/>
        <w:numPr>
          <w:ilvl w:val="0"/>
          <w:numId w:val="0"/>
        </w:numPr>
        <w:spacing w:line="276" w:lineRule="auto"/>
        <w:rPr>
          <w:color w:val="000000" w:themeColor="text1"/>
        </w:rPr>
      </w:pPr>
      <w:r w:rsidRPr="005D3D3E">
        <w:rPr>
          <w:b/>
          <w:color w:val="000000" w:themeColor="text1"/>
        </w:rPr>
        <w:t xml:space="preserve">Special Consideration: </w:t>
      </w:r>
      <w:r w:rsidR="00AF6D0E" w:rsidRPr="0078442A">
        <w:rPr>
          <w:color w:val="000000" w:themeColor="text1"/>
        </w:rPr>
        <w:t xml:space="preserve">Informed consent is not a </w:t>
      </w:r>
      <w:proofErr w:type="spellStart"/>
      <w:r w:rsidR="00AF6D0E" w:rsidRPr="0078442A">
        <w:rPr>
          <w:color w:val="000000" w:themeColor="text1"/>
        </w:rPr>
        <w:t>one time</w:t>
      </w:r>
      <w:proofErr w:type="spellEnd"/>
      <w:r w:rsidR="00AF6D0E" w:rsidRPr="0078442A">
        <w:rPr>
          <w:color w:val="000000" w:themeColor="text1"/>
        </w:rPr>
        <w:t xml:space="preserve"> event but an ongoing process. In some situations, the research subjects might regain capacity to consent. For example, a stroke patient who was enrolled in a research study when they were not capable to give consent, might become fully capable of giving their consent during the course of the study. The researcher should at this time obtain informed consent from the subject. </w:t>
      </w:r>
      <w:r w:rsidR="00125C4C" w:rsidRPr="0078442A">
        <w:rPr>
          <w:color w:val="000000" w:themeColor="text1"/>
        </w:rPr>
        <w:t xml:space="preserve">This consent discussion, like the previous consent discussion with the LAR should be documented in the source documents. The consent process should also be documented by obtaining the subjects signature on a fresh consent document or the same consent document that the LAR signed. </w:t>
      </w:r>
      <w:r w:rsidR="00BC3954">
        <w:rPr>
          <w:color w:val="000000" w:themeColor="text1"/>
        </w:rPr>
        <w:t xml:space="preserve">Study teams may choose to use an addendum to The signature should be accompanied by a note on the consent document that clarifies the situation including what the subject was agreeing to e.g. continuing studying intervention, data collection or follow up etc. </w:t>
      </w:r>
    </w:p>
    <w:p w:rsidR="005E4813" w:rsidRPr="0078442A" w:rsidRDefault="00D1675C" w:rsidP="0078442A">
      <w:pPr>
        <w:pStyle w:val="Default"/>
        <w:spacing w:line="276" w:lineRule="auto"/>
        <w:rPr>
          <w:rFonts w:asciiTheme="minorHAnsi" w:hAnsiTheme="minorHAnsi"/>
          <w:color w:val="000000" w:themeColor="text1"/>
          <w:sz w:val="22"/>
          <w:szCs w:val="22"/>
        </w:rPr>
      </w:pPr>
      <w:r w:rsidRPr="0078442A">
        <w:rPr>
          <w:rFonts w:asciiTheme="minorHAnsi" w:hAnsiTheme="minorHAnsi"/>
          <w:color w:val="000000" w:themeColor="text1"/>
          <w:sz w:val="22"/>
          <w:szCs w:val="22"/>
        </w:rPr>
        <w:tab/>
      </w:r>
    </w:p>
    <w:p w:rsidR="00B74446" w:rsidRPr="0078442A" w:rsidRDefault="00B74446" w:rsidP="0078442A">
      <w:pPr>
        <w:keepNext/>
        <w:keepLines/>
        <w:spacing w:line="276" w:lineRule="auto"/>
        <w:outlineLvl w:val="1"/>
        <w:rPr>
          <w:rFonts w:asciiTheme="minorHAnsi" w:hAnsiTheme="minorHAnsi" w:cs="Arial"/>
          <w:bCs/>
          <w:color w:val="000000" w:themeColor="text1"/>
          <w:sz w:val="22"/>
          <w:szCs w:val="22"/>
        </w:rPr>
      </w:pPr>
    </w:p>
    <w:p w:rsidR="00B74446" w:rsidRPr="0078442A" w:rsidRDefault="00617EBD" w:rsidP="0078442A">
      <w:pPr>
        <w:pStyle w:val="Heading1"/>
        <w:spacing w:line="276" w:lineRule="auto"/>
        <w:ind w:left="0" w:firstLine="0"/>
        <w:rPr>
          <w:rFonts w:asciiTheme="minorHAnsi" w:hAnsiTheme="minorHAnsi"/>
          <w:color w:val="000000" w:themeColor="text1"/>
        </w:rPr>
      </w:pPr>
      <w:bookmarkStart w:id="0" w:name="_Toc252261196"/>
      <w:r w:rsidRPr="0078442A">
        <w:rPr>
          <w:rFonts w:asciiTheme="minorHAnsi" w:hAnsiTheme="minorHAnsi"/>
          <w:color w:val="000000" w:themeColor="text1"/>
        </w:rPr>
        <w:t>Applicable Regulations</w:t>
      </w:r>
      <w:bookmarkEnd w:id="0"/>
      <w:r w:rsidR="005C4DD2" w:rsidRPr="0078442A">
        <w:rPr>
          <w:rFonts w:asciiTheme="minorHAnsi" w:hAnsiTheme="minorHAnsi"/>
          <w:color w:val="000000" w:themeColor="text1"/>
        </w:rPr>
        <w:t xml:space="preserve"> and Guidance Documents</w:t>
      </w:r>
    </w:p>
    <w:p w:rsidR="00617EBD" w:rsidRPr="0078442A" w:rsidRDefault="00E50179" w:rsidP="0078442A">
      <w:pPr>
        <w:pStyle w:val="ListParagraph"/>
        <w:keepNext/>
        <w:keepLines/>
        <w:numPr>
          <w:ilvl w:val="0"/>
          <w:numId w:val="31"/>
        </w:numPr>
        <w:spacing w:line="276" w:lineRule="auto"/>
        <w:outlineLvl w:val="1"/>
        <w:rPr>
          <w:rFonts w:asciiTheme="minorHAnsi" w:hAnsiTheme="minorHAnsi" w:cs="Arial"/>
          <w:bCs/>
          <w:color w:val="000000" w:themeColor="text1"/>
          <w:sz w:val="22"/>
          <w:szCs w:val="22"/>
        </w:rPr>
      </w:pPr>
      <w:r w:rsidRPr="0078442A">
        <w:rPr>
          <w:rFonts w:asciiTheme="minorHAnsi" w:hAnsiTheme="minorHAnsi" w:cs="Arial"/>
          <w:bCs/>
          <w:color w:val="000000" w:themeColor="text1"/>
          <w:sz w:val="22"/>
          <w:szCs w:val="22"/>
        </w:rPr>
        <w:t>21 CFR 50</w:t>
      </w:r>
    </w:p>
    <w:p w:rsidR="006C3860" w:rsidRPr="0078442A" w:rsidRDefault="00E50179" w:rsidP="0078442A">
      <w:pPr>
        <w:pStyle w:val="ListParagraph"/>
        <w:keepNext/>
        <w:keepLines/>
        <w:numPr>
          <w:ilvl w:val="0"/>
          <w:numId w:val="31"/>
        </w:numPr>
        <w:spacing w:line="276" w:lineRule="auto"/>
        <w:outlineLvl w:val="1"/>
        <w:rPr>
          <w:rFonts w:asciiTheme="minorHAnsi" w:hAnsiTheme="minorHAnsi" w:cs="Arial"/>
          <w:bCs/>
          <w:color w:val="000000" w:themeColor="text1"/>
          <w:sz w:val="22"/>
          <w:szCs w:val="22"/>
        </w:rPr>
      </w:pPr>
      <w:r w:rsidRPr="0078442A">
        <w:rPr>
          <w:rFonts w:asciiTheme="minorHAnsi" w:hAnsiTheme="minorHAnsi" w:cs="Arial"/>
          <w:bCs/>
          <w:color w:val="000000" w:themeColor="text1"/>
          <w:sz w:val="22"/>
          <w:szCs w:val="22"/>
        </w:rPr>
        <w:t>45 CFR 46.116 and 46.117</w:t>
      </w:r>
    </w:p>
    <w:p w:rsidR="006C3860" w:rsidRPr="0078442A" w:rsidRDefault="006C3860" w:rsidP="0078442A">
      <w:pPr>
        <w:pStyle w:val="ListParagraph"/>
        <w:keepNext/>
        <w:keepLines/>
        <w:numPr>
          <w:ilvl w:val="0"/>
          <w:numId w:val="31"/>
        </w:numPr>
        <w:spacing w:line="276" w:lineRule="auto"/>
        <w:outlineLvl w:val="1"/>
        <w:rPr>
          <w:rFonts w:asciiTheme="minorHAnsi" w:hAnsiTheme="minorHAnsi" w:cs="Arial"/>
          <w:bCs/>
          <w:color w:val="000000" w:themeColor="text1"/>
          <w:sz w:val="22"/>
          <w:szCs w:val="22"/>
        </w:rPr>
      </w:pPr>
      <w:r w:rsidRPr="0078442A">
        <w:rPr>
          <w:rFonts w:asciiTheme="minorHAnsi" w:hAnsiTheme="minorHAnsi" w:cs="Arial"/>
          <w:bCs/>
          <w:color w:val="000000" w:themeColor="text1"/>
          <w:sz w:val="22"/>
          <w:szCs w:val="22"/>
        </w:rPr>
        <w:t>ICH Good Clinical Practice: Consolidated Guideline</w:t>
      </w:r>
    </w:p>
    <w:p w:rsidR="00881C4D" w:rsidRPr="0078442A" w:rsidRDefault="001D70DE" w:rsidP="0078442A">
      <w:pPr>
        <w:pStyle w:val="ListParagraph"/>
        <w:keepNext/>
        <w:keepLines/>
        <w:numPr>
          <w:ilvl w:val="0"/>
          <w:numId w:val="31"/>
        </w:numPr>
        <w:spacing w:line="276" w:lineRule="auto"/>
        <w:outlineLvl w:val="1"/>
        <w:rPr>
          <w:rFonts w:asciiTheme="minorHAnsi" w:hAnsiTheme="minorHAnsi" w:cs="Arial"/>
          <w:bCs/>
          <w:color w:val="000000" w:themeColor="text1"/>
          <w:sz w:val="22"/>
          <w:szCs w:val="22"/>
        </w:rPr>
      </w:pPr>
      <w:r w:rsidRPr="0078442A">
        <w:rPr>
          <w:rFonts w:asciiTheme="minorHAnsi" w:hAnsiTheme="minorHAnsi" w:cs="Arial"/>
          <w:bCs/>
          <w:color w:val="000000" w:themeColor="text1"/>
          <w:sz w:val="22"/>
          <w:szCs w:val="22"/>
        </w:rPr>
        <w:t xml:space="preserve">FDA Guide to Informed Consent - Information Sheet </w:t>
      </w:r>
    </w:p>
    <w:p w:rsidR="00D61454" w:rsidRPr="0078442A" w:rsidRDefault="00881C4D" w:rsidP="0078442A">
      <w:pPr>
        <w:pStyle w:val="ListParagraph"/>
        <w:keepNext/>
        <w:keepLines/>
        <w:numPr>
          <w:ilvl w:val="0"/>
          <w:numId w:val="31"/>
        </w:numPr>
        <w:spacing w:line="276" w:lineRule="auto"/>
        <w:outlineLvl w:val="1"/>
        <w:rPr>
          <w:rFonts w:asciiTheme="minorHAnsi" w:hAnsiTheme="minorHAnsi" w:cs="Arial"/>
          <w:bCs/>
          <w:color w:val="000000" w:themeColor="text1"/>
          <w:sz w:val="22"/>
          <w:szCs w:val="22"/>
        </w:rPr>
      </w:pPr>
      <w:r w:rsidRPr="0078442A">
        <w:rPr>
          <w:rFonts w:asciiTheme="minorHAnsi" w:hAnsiTheme="minorHAnsi"/>
          <w:color w:val="000000" w:themeColor="text1"/>
          <w:sz w:val="22"/>
          <w:szCs w:val="22"/>
        </w:rPr>
        <w:t>"Exculpatory Language" in Informed Consent - Cooperative Oncology Group Chairpersons Meeting November 15, 1996</w:t>
      </w:r>
    </w:p>
    <w:p w:rsidR="00D61454" w:rsidRPr="0078442A" w:rsidRDefault="00D61454" w:rsidP="0078442A">
      <w:pPr>
        <w:pStyle w:val="ListParagraph"/>
        <w:keepNext/>
        <w:keepLines/>
        <w:numPr>
          <w:ilvl w:val="0"/>
          <w:numId w:val="31"/>
        </w:numPr>
        <w:spacing w:line="276" w:lineRule="auto"/>
        <w:outlineLvl w:val="1"/>
        <w:rPr>
          <w:rFonts w:asciiTheme="minorHAnsi" w:hAnsiTheme="minorHAnsi" w:cs="Arial"/>
          <w:bCs/>
          <w:color w:val="000000" w:themeColor="text1"/>
          <w:sz w:val="22"/>
          <w:szCs w:val="22"/>
        </w:rPr>
      </w:pPr>
      <w:r w:rsidRPr="0078442A">
        <w:rPr>
          <w:rFonts w:asciiTheme="minorHAnsi" w:hAnsiTheme="minorHAnsi"/>
          <w:color w:val="000000" w:themeColor="text1"/>
          <w:sz w:val="22"/>
          <w:szCs w:val="22"/>
        </w:rPr>
        <w:t>Assessing Decisional Capacity for Clinical Research or Treatment: A Review of Instruments. Am J Psychiatry 163:1323-1334, August 2006</w:t>
      </w:r>
    </w:p>
    <w:p w:rsidR="005C4DD2" w:rsidRPr="0078442A" w:rsidRDefault="005C4DD2" w:rsidP="0078442A">
      <w:pPr>
        <w:pStyle w:val="ListParagraph"/>
        <w:keepNext/>
        <w:keepLines/>
        <w:spacing w:line="276" w:lineRule="auto"/>
        <w:ind w:left="0"/>
        <w:outlineLvl w:val="1"/>
        <w:rPr>
          <w:rFonts w:asciiTheme="minorHAnsi" w:hAnsiTheme="minorHAnsi" w:cs="Arial"/>
          <w:bCs/>
          <w:color w:val="000000" w:themeColor="text1"/>
          <w:sz w:val="22"/>
          <w:szCs w:val="22"/>
        </w:rPr>
      </w:pPr>
    </w:p>
    <w:p w:rsidR="00B74446" w:rsidRPr="0078442A" w:rsidRDefault="00772ABF" w:rsidP="0078442A">
      <w:pPr>
        <w:spacing w:line="276" w:lineRule="auto"/>
        <w:outlineLvl w:val="1"/>
        <w:rPr>
          <w:rFonts w:asciiTheme="minorHAnsi" w:hAnsiTheme="minorHAnsi" w:cs="Arial"/>
          <w:b/>
          <w:bCs/>
          <w:color w:val="000000" w:themeColor="text1"/>
          <w:sz w:val="22"/>
          <w:szCs w:val="22"/>
        </w:rPr>
      </w:pPr>
      <w:r w:rsidRPr="0078442A">
        <w:rPr>
          <w:rFonts w:asciiTheme="minorHAnsi" w:hAnsiTheme="minorHAnsi" w:cs="Arial"/>
          <w:b/>
          <w:bCs/>
          <w:color w:val="000000" w:themeColor="text1"/>
          <w:sz w:val="22"/>
          <w:szCs w:val="22"/>
        </w:rPr>
        <w:t>Applicable Institutional Policies and Procedures</w:t>
      </w:r>
    </w:p>
    <w:p w:rsidR="00AF6D0E" w:rsidRPr="0078442A" w:rsidRDefault="00AF6D0E" w:rsidP="0078442A">
      <w:pPr>
        <w:pStyle w:val="ListParagraph"/>
        <w:numPr>
          <w:ilvl w:val="0"/>
          <w:numId w:val="30"/>
        </w:numPr>
        <w:spacing w:line="276" w:lineRule="auto"/>
        <w:rPr>
          <w:rFonts w:asciiTheme="minorHAnsi" w:hAnsiTheme="minorHAnsi" w:cs="Arial"/>
          <w:color w:val="000000" w:themeColor="text1"/>
          <w:sz w:val="22"/>
          <w:szCs w:val="22"/>
        </w:rPr>
      </w:pPr>
      <w:r w:rsidRPr="0078442A">
        <w:rPr>
          <w:rFonts w:asciiTheme="minorHAnsi" w:hAnsiTheme="minorHAnsi" w:cs="Arial"/>
          <w:color w:val="000000" w:themeColor="text1"/>
          <w:sz w:val="22"/>
          <w:szCs w:val="22"/>
        </w:rPr>
        <w:t>Consent Process</w:t>
      </w:r>
    </w:p>
    <w:p w:rsidR="00AF6D0E" w:rsidRPr="0078442A" w:rsidRDefault="00AF6D0E" w:rsidP="0078442A">
      <w:pPr>
        <w:pStyle w:val="ListParagraph"/>
        <w:numPr>
          <w:ilvl w:val="0"/>
          <w:numId w:val="30"/>
        </w:numPr>
        <w:spacing w:line="276" w:lineRule="auto"/>
        <w:rPr>
          <w:rFonts w:asciiTheme="minorHAnsi" w:hAnsiTheme="minorHAnsi" w:cs="Arial"/>
          <w:color w:val="000000" w:themeColor="text1"/>
          <w:sz w:val="22"/>
          <w:szCs w:val="22"/>
        </w:rPr>
      </w:pPr>
      <w:r w:rsidRPr="0078442A">
        <w:rPr>
          <w:rFonts w:asciiTheme="minorHAnsi" w:hAnsiTheme="minorHAnsi" w:cs="Arial"/>
          <w:color w:val="000000" w:themeColor="text1"/>
          <w:sz w:val="22"/>
          <w:szCs w:val="22"/>
        </w:rPr>
        <w:t>Consent Documentation</w:t>
      </w:r>
    </w:p>
    <w:p w:rsidR="005C4DD2" w:rsidRPr="0078442A" w:rsidRDefault="005C4DD2" w:rsidP="0078442A">
      <w:pPr>
        <w:keepNext/>
        <w:keepLines/>
        <w:spacing w:line="276" w:lineRule="auto"/>
        <w:outlineLvl w:val="1"/>
        <w:rPr>
          <w:rFonts w:asciiTheme="minorHAnsi" w:hAnsiTheme="minorHAnsi" w:cs="Arial"/>
          <w:bCs/>
          <w:color w:val="000000" w:themeColor="text1"/>
          <w:sz w:val="22"/>
          <w:szCs w:val="22"/>
        </w:rPr>
      </w:pPr>
    </w:p>
    <w:p w:rsidR="00772ABF" w:rsidRPr="0078442A" w:rsidRDefault="00772ABF" w:rsidP="0078442A">
      <w:pPr>
        <w:spacing w:line="276" w:lineRule="auto"/>
        <w:outlineLvl w:val="1"/>
        <w:rPr>
          <w:rFonts w:asciiTheme="minorHAnsi" w:hAnsiTheme="minorHAnsi" w:cs="Arial"/>
          <w:b/>
          <w:bCs/>
          <w:color w:val="000000" w:themeColor="text1"/>
          <w:sz w:val="22"/>
          <w:szCs w:val="22"/>
        </w:rPr>
      </w:pPr>
      <w:r w:rsidRPr="0078442A">
        <w:rPr>
          <w:rFonts w:asciiTheme="minorHAnsi" w:hAnsiTheme="minorHAnsi" w:cs="Arial"/>
          <w:b/>
          <w:bCs/>
          <w:color w:val="000000" w:themeColor="text1"/>
          <w:sz w:val="22"/>
          <w:szCs w:val="22"/>
        </w:rPr>
        <w:t>Attachments</w:t>
      </w:r>
    </w:p>
    <w:p w:rsidR="00772ABF" w:rsidRPr="00D62C9F" w:rsidRDefault="00CF3D30" w:rsidP="0078442A">
      <w:pPr>
        <w:pStyle w:val="ListParagraph"/>
        <w:keepNext/>
        <w:keepLines/>
        <w:numPr>
          <w:ilvl w:val="0"/>
          <w:numId w:val="30"/>
        </w:numPr>
        <w:spacing w:line="276" w:lineRule="auto"/>
        <w:outlineLvl w:val="1"/>
        <w:rPr>
          <w:rFonts w:asciiTheme="minorHAnsi" w:hAnsiTheme="minorHAnsi" w:cs="Arial"/>
          <w:bCs/>
          <w:color w:val="000000" w:themeColor="text1"/>
          <w:sz w:val="22"/>
          <w:szCs w:val="22"/>
        </w:rPr>
      </w:pPr>
      <w:r w:rsidRPr="00D62C9F">
        <w:rPr>
          <w:rFonts w:asciiTheme="minorHAnsi" w:hAnsiTheme="minorHAnsi" w:cs="Arial"/>
          <w:color w:val="000000" w:themeColor="text1"/>
          <w:sz w:val="22"/>
          <w:szCs w:val="22"/>
        </w:rPr>
        <w:t>None</w:t>
      </w:r>
    </w:p>
    <w:p w:rsidR="00772ABF" w:rsidRPr="0078442A" w:rsidRDefault="00772ABF" w:rsidP="0078442A">
      <w:pPr>
        <w:keepNext/>
        <w:keepLines/>
        <w:spacing w:line="276" w:lineRule="auto"/>
        <w:outlineLvl w:val="1"/>
        <w:rPr>
          <w:rFonts w:asciiTheme="minorHAnsi" w:hAnsiTheme="minorHAnsi" w:cs="Arial"/>
          <w:b/>
          <w:bCs/>
          <w:color w:val="000000" w:themeColor="text1"/>
          <w:sz w:val="22"/>
          <w:szCs w:val="22"/>
        </w:rPr>
      </w:pPr>
    </w:p>
    <w:p w:rsidR="00772ABF" w:rsidRPr="0078442A" w:rsidRDefault="00772ABF" w:rsidP="0078442A">
      <w:pPr>
        <w:keepNext/>
        <w:keepLines/>
        <w:pBdr>
          <w:top w:val="single" w:sz="4" w:space="1" w:color="auto"/>
        </w:pBdr>
        <w:spacing w:line="276" w:lineRule="auto"/>
        <w:outlineLvl w:val="1"/>
        <w:rPr>
          <w:rFonts w:asciiTheme="minorHAnsi" w:hAnsiTheme="minorHAnsi" w:cs="Arial"/>
          <w:b/>
          <w:bCs/>
          <w:color w:val="000000" w:themeColor="text1"/>
          <w:sz w:val="22"/>
          <w:szCs w:val="22"/>
        </w:rPr>
      </w:pPr>
    </w:p>
    <w:p w:rsidR="00772ABF" w:rsidRPr="0078442A" w:rsidRDefault="00772ABF" w:rsidP="0078442A">
      <w:pPr>
        <w:keepNext/>
        <w:keepLines/>
        <w:spacing w:line="276" w:lineRule="auto"/>
        <w:outlineLvl w:val="1"/>
        <w:rPr>
          <w:rFonts w:asciiTheme="minorHAnsi" w:hAnsiTheme="minorHAnsi" w:cs="Arial"/>
          <w:b/>
          <w:bCs/>
          <w:color w:val="000000" w:themeColor="text1"/>
          <w:sz w:val="22"/>
          <w:szCs w:val="22"/>
        </w:rPr>
      </w:pPr>
      <w:r w:rsidRPr="0078442A">
        <w:rPr>
          <w:rFonts w:asciiTheme="minorHAnsi" w:hAnsiTheme="minorHAnsi" w:cs="Arial"/>
          <w:b/>
          <w:bCs/>
          <w:color w:val="000000" w:themeColor="text1"/>
          <w:sz w:val="22"/>
          <w:szCs w:val="22"/>
        </w:rPr>
        <w:t xml:space="preserve">If you find errors in this document, </w:t>
      </w:r>
      <w:r w:rsidR="007A1D87">
        <w:rPr>
          <w:rFonts w:asciiTheme="minorHAnsi" w:hAnsiTheme="minorHAnsi" w:cs="Arial"/>
          <w:b/>
          <w:bCs/>
          <w:color w:val="000000" w:themeColor="text1"/>
          <w:sz w:val="22"/>
          <w:szCs w:val="22"/>
        </w:rPr>
        <w:t xml:space="preserve">please </w:t>
      </w:r>
      <w:r w:rsidRPr="0078442A">
        <w:rPr>
          <w:rFonts w:asciiTheme="minorHAnsi" w:hAnsiTheme="minorHAnsi" w:cs="Arial"/>
          <w:b/>
          <w:bCs/>
          <w:color w:val="000000" w:themeColor="text1"/>
          <w:sz w:val="22"/>
          <w:szCs w:val="22"/>
        </w:rPr>
        <w:t xml:space="preserve">contact </w:t>
      </w:r>
      <w:hyperlink r:id="rId8" w:history="1">
        <w:r w:rsidRPr="0078442A">
          <w:rPr>
            <w:rStyle w:val="Hyperlink"/>
            <w:rFonts w:asciiTheme="minorHAnsi" w:hAnsiTheme="minorHAnsi" w:cs="Arial"/>
            <w:b/>
            <w:bCs/>
            <w:color w:val="000000" w:themeColor="text1"/>
            <w:sz w:val="22"/>
            <w:szCs w:val="22"/>
          </w:rPr>
          <w:t>clinicaltrials@uth.tmc.edu</w:t>
        </w:r>
      </w:hyperlink>
    </w:p>
    <w:p w:rsidR="00772ABF" w:rsidRPr="0078442A" w:rsidRDefault="00772ABF" w:rsidP="0078442A">
      <w:pPr>
        <w:keepNext/>
        <w:keepLines/>
        <w:spacing w:line="276" w:lineRule="auto"/>
        <w:outlineLvl w:val="1"/>
        <w:rPr>
          <w:rFonts w:asciiTheme="minorHAnsi" w:hAnsiTheme="minorHAnsi" w:cs="Arial"/>
          <w:b/>
          <w:bCs/>
          <w:color w:val="000000" w:themeColor="text1"/>
          <w:sz w:val="22"/>
          <w:szCs w:val="22"/>
        </w:rPr>
      </w:pPr>
    </w:p>
    <w:tbl>
      <w:tblPr>
        <w:tblStyle w:val="TableGrid"/>
        <w:tblW w:w="0" w:type="auto"/>
        <w:tblLook w:val="04A0"/>
      </w:tblPr>
      <w:tblGrid>
        <w:gridCol w:w="2268"/>
        <w:gridCol w:w="7200"/>
      </w:tblGrid>
      <w:tr w:rsidR="00772ABF" w:rsidRPr="0078442A" w:rsidTr="00A9113F">
        <w:tc>
          <w:tcPr>
            <w:tcW w:w="2268" w:type="dxa"/>
            <w:vAlign w:val="center"/>
          </w:tcPr>
          <w:p w:rsidR="00772ABF" w:rsidRPr="0078442A" w:rsidRDefault="00772ABF" w:rsidP="0078442A">
            <w:pPr>
              <w:keepNext/>
              <w:keepLines/>
              <w:spacing w:line="276" w:lineRule="auto"/>
              <w:outlineLvl w:val="1"/>
              <w:rPr>
                <w:rFonts w:asciiTheme="minorHAnsi" w:hAnsiTheme="minorHAnsi" w:cs="Arial"/>
                <w:b/>
                <w:bCs/>
                <w:color w:val="000000" w:themeColor="text1"/>
                <w:sz w:val="22"/>
                <w:szCs w:val="22"/>
              </w:rPr>
            </w:pPr>
            <w:r w:rsidRPr="0078442A">
              <w:rPr>
                <w:rFonts w:asciiTheme="minorHAnsi" w:hAnsiTheme="minorHAnsi" w:cs="Arial"/>
                <w:b/>
                <w:bCs/>
                <w:color w:val="000000" w:themeColor="text1"/>
                <w:sz w:val="22"/>
                <w:szCs w:val="22"/>
              </w:rPr>
              <w:t>Document Number:</w:t>
            </w:r>
          </w:p>
        </w:tc>
        <w:tc>
          <w:tcPr>
            <w:tcW w:w="7200" w:type="dxa"/>
            <w:vAlign w:val="center"/>
          </w:tcPr>
          <w:p w:rsidR="00772ABF" w:rsidRPr="0078442A" w:rsidRDefault="007A1D87" w:rsidP="0078442A">
            <w:pPr>
              <w:keepNext/>
              <w:keepLines/>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402-015</w:t>
            </w:r>
          </w:p>
        </w:tc>
      </w:tr>
      <w:tr w:rsidR="00772ABF" w:rsidRPr="0078442A" w:rsidTr="00A9113F">
        <w:tc>
          <w:tcPr>
            <w:tcW w:w="2268" w:type="dxa"/>
            <w:vAlign w:val="center"/>
          </w:tcPr>
          <w:p w:rsidR="00772ABF" w:rsidRPr="0078442A" w:rsidRDefault="00772ABF" w:rsidP="0078442A">
            <w:pPr>
              <w:keepNext/>
              <w:keepLines/>
              <w:spacing w:line="276" w:lineRule="auto"/>
              <w:outlineLvl w:val="1"/>
              <w:rPr>
                <w:rFonts w:asciiTheme="minorHAnsi" w:hAnsiTheme="minorHAnsi" w:cs="Arial"/>
                <w:b/>
                <w:bCs/>
                <w:color w:val="000000" w:themeColor="text1"/>
                <w:sz w:val="22"/>
                <w:szCs w:val="22"/>
              </w:rPr>
            </w:pPr>
            <w:r w:rsidRPr="0078442A">
              <w:rPr>
                <w:rFonts w:asciiTheme="minorHAnsi" w:hAnsiTheme="minorHAnsi" w:cs="Arial"/>
                <w:b/>
                <w:bCs/>
                <w:color w:val="000000" w:themeColor="text1"/>
                <w:sz w:val="22"/>
                <w:szCs w:val="22"/>
              </w:rPr>
              <w:t>Author:</w:t>
            </w:r>
          </w:p>
        </w:tc>
        <w:tc>
          <w:tcPr>
            <w:tcW w:w="7200" w:type="dxa"/>
            <w:vAlign w:val="center"/>
          </w:tcPr>
          <w:p w:rsidR="00772ABF" w:rsidRPr="0078442A" w:rsidRDefault="00772ABF" w:rsidP="0078442A">
            <w:pPr>
              <w:keepNext/>
              <w:keepLines/>
              <w:spacing w:line="276" w:lineRule="auto"/>
              <w:outlineLvl w:val="1"/>
              <w:rPr>
                <w:rFonts w:asciiTheme="minorHAnsi" w:hAnsiTheme="minorHAnsi" w:cs="Arial"/>
                <w:bCs/>
                <w:color w:val="000000" w:themeColor="text1"/>
                <w:sz w:val="22"/>
                <w:szCs w:val="22"/>
              </w:rPr>
            </w:pPr>
            <w:r w:rsidRPr="0078442A">
              <w:rPr>
                <w:rFonts w:asciiTheme="minorHAnsi" w:hAnsiTheme="minorHAnsi" w:cs="Arial"/>
                <w:bCs/>
                <w:color w:val="000000" w:themeColor="text1"/>
                <w:sz w:val="22"/>
                <w:szCs w:val="22"/>
              </w:rPr>
              <w:t>Clinical Trials Resource Center</w:t>
            </w:r>
          </w:p>
        </w:tc>
      </w:tr>
      <w:tr w:rsidR="00772ABF" w:rsidRPr="0078442A" w:rsidTr="00A9113F">
        <w:tc>
          <w:tcPr>
            <w:tcW w:w="2268" w:type="dxa"/>
            <w:vAlign w:val="center"/>
          </w:tcPr>
          <w:p w:rsidR="00772ABF" w:rsidRPr="0078442A" w:rsidRDefault="00772ABF" w:rsidP="0078442A">
            <w:pPr>
              <w:keepNext/>
              <w:keepLines/>
              <w:spacing w:line="276" w:lineRule="auto"/>
              <w:outlineLvl w:val="1"/>
              <w:rPr>
                <w:rFonts w:asciiTheme="minorHAnsi" w:hAnsiTheme="minorHAnsi" w:cs="Arial"/>
                <w:b/>
                <w:bCs/>
                <w:color w:val="000000" w:themeColor="text1"/>
                <w:sz w:val="22"/>
                <w:szCs w:val="22"/>
              </w:rPr>
            </w:pPr>
            <w:r w:rsidRPr="0078442A">
              <w:rPr>
                <w:rFonts w:asciiTheme="minorHAnsi" w:hAnsiTheme="minorHAnsi" w:cs="Arial"/>
                <w:b/>
                <w:bCs/>
                <w:color w:val="000000" w:themeColor="text1"/>
                <w:sz w:val="22"/>
                <w:szCs w:val="22"/>
              </w:rPr>
              <w:t>Effective:</w:t>
            </w:r>
          </w:p>
        </w:tc>
        <w:tc>
          <w:tcPr>
            <w:tcW w:w="7200" w:type="dxa"/>
            <w:vAlign w:val="center"/>
          </w:tcPr>
          <w:p w:rsidR="00772ABF" w:rsidRPr="0078442A" w:rsidRDefault="009B2CA4" w:rsidP="0078442A">
            <w:pPr>
              <w:keepNext/>
              <w:keepLines/>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June 1, 2011</w:t>
            </w:r>
          </w:p>
        </w:tc>
      </w:tr>
      <w:tr w:rsidR="00772ABF" w:rsidRPr="0078442A" w:rsidTr="00A9113F">
        <w:tc>
          <w:tcPr>
            <w:tcW w:w="2268" w:type="dxa"/>
            <w:vAlign w:val="center"/>
          </w:tcPr>
          <w:p w:rsidR="00772ABF" w:rsidRPr="0078442A" w:rsidRDefault="00772ABF" w:rsidP="0078442A">
            <w:pPr>
              <w:keepNext/>
              <w:keepLines/>
              <w:spacing w:line="276" w:lineRule="auto"/>
              <w:outlineLvl w:val="1"/>
              <w:rPr>
                <w:rFonts w:asciiTheme="minorHAnsi" w:hAnsiTheme="minorHAnsi" w:cs="Arial"/>
                <w:b/>
                <w:bCs/>
                <w:color w:val="000000" w:themeColor="text1"/>
                <w:sz w:val="22"/>
                <w:szCs w:val="22"/>
              </w:rPr>
            </w:pPr>
            <w:r w:rsidRPr="0078442A">
              <w:rPr>
                <w:rFonts w:asciiTheme="minorHAnsi" w:hAnsiTheme="minorHAnsi" w:cs="Arial"/>
                <w:b/>
                <w:bCs/>
                <w:color w:val="000000" w:themeColor="text1"/>
                <w:sz w:val="22"/>
                <w:szCs w:val="22"/>
              </w:rPr>
              <w:t>Revision History:</w:t>
            </w:r>
          </w:p>
        </w:tc>
        <w:tc>
          <w:tcPr>
            <w:tcW w:w="7200" w:type="dxa"/>
            <w:vAlign w:val="center"/>
          </w:tcPr>
          <w:p w:rsidR="00772ABF" w:rsidRPr="0078442A" w:rsidRDefault="00772ABF" w:rsidP="0078442A">
            <w:pPr>
              <w:keepNext/>
              <w:keepLines/>
              <w:spacing w:line="276" w:lineRule="auto"/>
              <w:outlineLvl w:val="1"/>
              <w:rPr>
                <w:rFonts w:asciiTheme="minorHAnsi" w:hAnsiTheme="minorHAnsi" w:cs="Arial"/>
                <w:bCs/>
                <w:color w:val="000000" w:themeColor="text1"/>
                <w:sz w:val="22"/>
                <w:szCs w:val="22"/>
              </w:rPr>
            </w:pPr>
            <w:r w:rsidRPr="0078442A">
              <w:rPr>
                <w:rFonts w:asciiTheme="minorHAnsi" w:hAnsiTheme="minorHAnsi" w:cs="Arial"/>
                <w:bCs/>
                <w:color w:val="000000" w:themeColor="text1"/>
                <w:sz w:val="22"/>
                <w:szCs w:val="22"/>
              </w:rPr>
              <w:t>None</w:t>
            </w:r>
          </w:p>
        </w:tc>
      </w:tr>
      <w:tr w:rsidR="00772ABF" w:rsidRPr="0078442A" w:rsidTr="00A9113F">
        <w:tc>
          <w:tcPr>
            <w:tcW w:w="2268" w:type="dxa"/>
            <w:vAlign w:val="center"/>
          </w:tcPr>
          <w:p w:rsidR="00772ABF" w:rsidRPr="0078442A" w:rsidRDefault="00772ABF" w:rsidP="0078442A">
            <w:pPr>
              <w:keepNext/>
              <w:keepLines/>
              <w:spacing w:line="276" w:lineRule="auto"/>
              <w:outlineLvl w:val="1"/>
              <w:rPr>
                <w:rFonts w:asciiTheme="minorHAnsi" w:hAnsiTheme="minorHAnsi" w:cs="Arial"/>
                <w:b/>
                <w:bCs/>
                <w:color w:val="000000" w:themeColor="text1"/>
                <w:sz w:val="22"/>
                <w:szCs w:val="22"/>
              </w:rPr>
            </w:pPr>
          </w:p>
        </w:tc>
        <w:tc>
          <w:tcPr>
            <w:tcW w:w="7200" w:type="dxa"/>
            <w:vAlign w:val="center"/>
          </w:tcPr>
          <w:p w:rsidR="00772ABF" w:rsidRPr="0078442A" w:rsidRDefault="00772ABF" w:rsidP="0078442A">
            <w:pPr>
              <w:keepNext/>
              <w:keepLines/>
              <w:spacing w:line="276" w:lineRule="auto"/>
              <w:outlineLvl w:val="1"/>
              <w:rPr>
                <w:rFonts w:asciiTheme="minorHAnsi" w:hAnsiTheme="minorHAnsi" w:cs="Arial"/>
                <w:b/>
                <w:bCs/>
                <w:color w:val="000000" w:themeColor="text1"/>
                <w:sz w:val="22"/>
                <w:szCs w:val="22"/>
              </w:rPr>
            </w:pPr>
          </w:p>
        </w:tc>
      </w:tr>
      <w:tr w:rsidR="00772ABF" w:rsidRPr="0078442A" w:rsidTr="00A9113F">
        <w:tc>
          <w:tcPr>
            <w:tcW w:w="2268" w:type="dxa"/>
            <w:vAlign w:val="center"/>
          </w:tcPr>
          <w:p w:rsidR="00772ABF" w:rsidRPr="0078442A" w:rsidRDefault="00772ABF" w:rsidP="0078442A">
            <w:pPr>
              <w:keepNext/>
              <w:keepLines/>
              <w:spacing w:line="276" w:lineRule="auto"/>
              <w:outlineLvl w:val="1"/>
              <w:rPr>
                <w:rFonts w:asciiTheme="minorHAnsi" w:hAnsiTheme="minorHAnsi" w:cs="Arial"/>
                <w:b/>
                <w:bCs/>
                <w:color w:val="000000" w:themeColor="text1"/>
                <w:sz w:val="22"/>
                <w:szCs w:val="22"/>
              </w:rPr>
            </w:pPr>
          </w:p>
        </w:tc>
        <w:tc>
          <w:tcPr>
            <w:tcW w:w="7200" w:type="dxa"/>
            <w:vAlign w:val="center"/>
          </w:tcPr>
          <w:p w:rsidR="00772ABF" w:rsidRPr="0078442A" w:rsidRDefault="00772ABF" w:rsidP="0078442A">
            <w:pPr>
              <w:keepNext/>
              <w:keepLines/>
              <w:spacing w:line="276" w:lineRule="auto"/>
              <w:outlineLvl w:val="1"/>
              <w:rPr>
                <w:rFonts w:asciiTheme="minorHAnsi" w:hAnsiTheme="minorHAnsi" w:cs="Arial"/>
                <w:b/>
                <w:bCs/>
                <w:color w:val="000000" w:themeColor="text1"/>
                <w:sz w:val="22"/>
                <w:szCs w:val="22"/>
              </w:rPr>
            </w:pPr>
          </w:p>
        </w:tc>
      </w:tr>
    </w:tbl>
    <w:p w:rsidR="00772ABF" w:rsidRPr="0078442A" w:rsidRDefault="00772ABF" w:rsidP="0078442A">
      <w:pPr>
        <w:keepNext/>
        <w:keepLines/>
        <w:spacing w:line="276" w:lineRule="auto"/>
        <w:outlineLvl w:val="1"/>
        <w:rPr>
          <w:rFonts w:asciiTheme="minorHAnsi" w:hAnsiTheme="minorHAnsi" w:cs="Arial"/>
          <w:b/>
          <w:bCs/>
          <w:color w:val="000000" w:themeColor="text1"/>
          <w:sz w:val="22"/>
          <w:szCs w:val="22"/>
        </w:rPr>
      </w:pPr>
    </w:p>
    <w:p w:rsidR="00DB18D1" w:rsidRPr="0078442A" w:rsidRDefault="00DB18D1" w:rsidP="0078442A">
      <w:pPr>
        <w:keepNext/>
        <w:keepLines/>
        <w:spacing w:line="276" w:lineRule="auto"/>
        <w:outlineLvl w:val="1"/>
        <w:rPr>
          <w:rFonts w:asciiTheme="minorHAnsi" w:hAnsiTheme="minorHAnsi" w:cs="Arial"/>
          <w:b/>
          <w:bCs/>
          <w:color w:val="000000" w:themeColor="text1"/>
          <w:sz w:val="22"/>
          <w:szCs w:val="22"/>
        </w:rPr>
      </w:pPr>
    </w:p>
    <w:sectPr w:rsidR="00DB18D1" w:rsidRPr="0078442A" w:rsidSect="008F708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954" w:rsidRDefault="00BC3954" w:rsidP="007F50CF">
      <w:pPr>
        <w:pStyle w:val="BodyText"/>
      </w:pPr>
      <w:r>
        <w:separator/>
      </w:r>
    </w:p>
  </w:endnote>
  <w:endnote w:type="continuationSeparator" w:id="0">
    <w:p w:rsidR="00BC3954" w:rsidRDefault="00BC3954" w:rsidP="007F50CF">
      <w:pPr>
        <w:pStyle w:val="BodyTex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954" w:rsidRDefault="00BC3954" w:rsidP="007F50CF">
      <w:pPr>
        <w:pStyle w:val="BodyText"/>
      </w:pPr>
      <w:r>
        <w:separator/>
      </w:r>
    </w:p>
  </w:footnote>
  <w:footnote w:type="continuationSeparator" w:id="0">
    <w:p w:rsidR="00BC3954" w:rsidRDefault="00BC3954" w:rsidP="007F50CF">
      <w:pPr>
        <w:pStyle w:val="BodyText"/>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E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B94491"/>
    <w:multiLevelType w:val="hybridMultilevel"/>
    <w:tmpl w:val="C0F64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04E82"/>
    <w:multiLevelType w:val="hybridMultilevel"/>
    <w:tmpl w:val="6128B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663C2"/>
    <w:multiLevelType w:val="hybridMultilevel"/>
    <w:tmpl w:val="BDA61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A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6E51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AB2FBF"/>
    <w:multiLevelType w:val="hybridMultilevel"/>
    <w:tmpl w:val="F4005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D1226"/>
    <w:multiLevelType w:val="hybridMultilevel"/>
    <w:tmpl w:val="EAF42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0D5058"/>
    <w:multiLevelType w:val="hybridMultilevel"/>
    <w:tmpl w:val="F028D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3F6A1D"/>
    <w:multiLevelType w:val="hybridMultilevel"/>
    <w:tmpl w:val="FCD2B89A"/>
    <w:lvl w:ilvl="0" w:tplc="CE48272A">
      <w:start w:val="1"/>
      <w:numFmt w:val="lowerLetter"/>
      <w:lvlText w:val="%1."/>
      <w:lvlJc w:val="left"/>
      <w:pPr>
        <w:ind w:left="1080" w:hanging="360"/>
      </w:pPr>
      <w:rPr>
        <w:rFonts w:ascii="Arial" w:hAnsi="Arial"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201F85"/>
    <w:multiLevelType w:val="multilevel"/>
    <w:tmpl w:val="EFD69C88"/>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96F4AC8"/>
    <w:multiLevelType w:val="hybridMultilevel"/>
    <w:tmpl w:val="18560D3E"/>
    <w:lvl w:ilvl="0" w:tplc="9E1AFA1E">
      <w:start w:val="1"/>
      <w:numFmt w:val="bullet"/>
      <w:lvlText w:val=""/>
      <w:lvlJc w:val="left"/>
      <w:pPr>
        <w:tabs>
          <w:tab w:val="num" w:pos="-360"/>
        </w:tabs>
        <w:ind w:left="360" w:hanging="360"/>
      </w:pPr>
      <w:rPr>
        <w:rFonts w:ascii="Symbol" w:hAnsi="Symbol" w:hint="default"/>
      </w:rPr>
    </w:lvl>
    <w:lvl w:ilvl="1" w:tplc="FBE40F64">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CE0780"/>
    <w:multiLevelType w:val="hybridMultilevel"/>
    <w:tmpl w:val="59C41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1626FE"/>
    <w:multiLevelType w:val="hybridMultilevel"/>
    <w:tmpl w:val="3D30A8F6"/>
    <w:lvl w:ilvl="0" w:tplc="74E4E268">
      <w:start w:val="1"/>
      <w:numFmt w:val="bullet"/>
      <w:lvlText w:val=""/>
      <w:lvlJc w:val="left"/>
      <w:pPr>
        <w:tabs>
          <w:tab w:val="num" w:pos="-72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33336049"/>
    <w:multiLevelType w:val="hybridMultilevel"/>
    <w:tmpl w:val="A90CC216"/>
    <w:lvl w:ilvl="0" w:tplc="60D2D572">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422D2A"/>
    <w:multiLevelType w:val="multilevel"/>
    <w:tmpl w:val="8EC215F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A6330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3D20236"/>
    <w:multiLevelType w:val="hybridMultilevel"/>
    <w:tmpl w:val="45A42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DA2655"/>
    <w:multiLevelType w:val="multilevel"/>
    <w:tmpl w:val="8EC215F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F4F58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03B37DA"/>
    <w:multiLevelType w:val="multilevel"/>
    <w:tmpl w:val="79C6037E"/>
    <w:lvl w:ilvl="0">
      <w:start w:val="5"/>
      <w:numFmt w:val="decimal"/>
      <w:lvlText w:val="%1."/>
      <w:lvlJc w:val="left"/>
      <w:pPr>
        <w:tabs>
          <w:tab w:val="num" w:pos="0"/>
        </w:tabs>
        <w:ind w:left="720" w:hanging="720"/>
      </w:pPr>
      <w:rPr>
        <w:rFonts w:hint="default"/>
        <w:b w:val="0"/>
      </w:rPr>
    </w:lvl>
    <w:lvl w:ilvl="1">
      <w:start w:val="1"/>
      <w:numFmt w:val="decimal"/>
      <w:lvlText w:val="%1.%2."/>
      <w:lvlJc w:val="left"/>
      <w:pPr>
        <w:tabs>
          <w:tab w:val="num" w:pos="0"/>
        </w:tabs>
        <w:ind w:left="720" w:hanging="720"/>
      </w:pPr>
      <w:rPr>
        <w:rFonts w:hint="default"/>
        <w:b w:val="0"/>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4143E4D"/>
    <w:multiLevelType w:val="hybridMultilevel"/>
    <w:tmpl w:val="96C22CC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8B84D82"/>
    <w:multiLevelType w:val="hybridMultilevel"/>
    <w:tmpl w:val="899E1368"/>
    <w:lvl w:ilvl="0" w:tplc="04FC81F4">
      <w:start w:val="1"/>
      <w:numFmt w:val="bullet"/>
      <w:lvlText w:val=""/>
      <w:lvlJc w:val="left"/>
      <w:pPr>
        <w:tabs>
          <w:tab w:val="num" w:pos="420"/>
        </w:tabs>
        <w:ind w:left="720" w:hanging="360"/>
      </w:pPr>
      <w:rPr>
        <w:rFonts w:ascii="Symbol" w:hAnsi="Symbol" w:hint="default"/>
        <w:sz w:val="20"/>
        <w:szCs w:val="20"/>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3">
    <w:nsid w:val="63A9050A"/>
    <w:multiLevelType w:val="multilevel"/>
    <w:tmpl w:val="9C224BEE"/>
    <w:lvl w:ilvl="0">
      <w:start w:val="5"/>
      <w:numFmt w:val="decimal"/>
      <w:lvlText w:val="%1"/>
      <w:lvlJc w:val="left"/>
      <w:pPr>
        <w:ind w:left="360" w:hanging="360"/>
      </w:pPr>
      <w:rPr>
        <w:rFonts w:hint="default"/>
      </w:rPr>
    </w:lvl>
    <w:lvl w:ilvl="1">
      <w:start w:val="1"/>
      <w:numFmt w:val="decimal"/>
      <w:pStyle w:val="BodyTex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Calibri" w:hAnsi="Calibri" w:hint="default"/>
        <w:b w:val="0"/>
        <w:i w:val="0"/>
        <w:sz w:val="22"/>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659A1AF9"/>
    <w:multiLevelType w:val="hybridMultilevel"/>
    <w:tmpl w:val="73865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6952D8"/>
    <w:multiLevelType w:val="multilevel"/>
    <w:tmpl w:val="CF3E1340"/>
    <w:lvl w:ilvl="0">
      <w:start w:val="1"/>
      <w:numFmt w:val="lowerLetter"/>
      <w:lvlText w:val="%1."/>
      <w:lvlJc w:val="left"/>
      <w:pPr>
        <w:ind w:left="108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1080"/>
      </w:pPr>
      <w:rPr>
        <w:rFonts w:ascii="Calibri" w:hAnsi="Calibri" w:hint="default"/>
        <w:b w:val="0"/>
        <w:i w:val="0"/>
        <w:sz w:val="22"/>
      </w:rPr>
    </w:lvl>
    <w:lvl w:ilvl="4">
      <w:start w:val="1"/>
      <w:numFmt w:val="decimal"/>
      <w:lvlText w:val="%1.%2.%3.%4.%5"/>
      <w:lvlJc w:val="left"/>
      <w:pPr>
        <w:ind w:left="2160" w:hanging="144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880" w:hanging="2160"/>
      </w:pPr>
      <w:rPr>
        <w:rFonts w:hint="default"/>
      </w:rPr>
    </w:lvl>
    <w:lvl w:ilvl="8">
      <w:start w:val="1"/>
      <w:numFmt w:val="decimal"/>
      <w:lvlText w:val="%1.%2.%3.%4.%5.%6.%7.%8.%9"/>
      <w:lvlJc w:val="left"/>
      <w:pPr>
        <w:ind w:left="2880" w:hanging="2160"/>
      </w:pPr>
      <w:rPr>
        <w:rFonts w:hint="default"/>
      </w:rPr>
    </w:lvl>
  </w:abstractNum>
  <w:abstractNum w:abstractNumId="26">
    <w:nsid w:val="713A05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1813E1C"/>
    <w:multiLevelType w:val="hybridMultilevel"/>
    <w:tmpl w:val="12E4F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4C1D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BE667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E2E061F"/>
    <w:multiLevelType w:val="multilevel"/>
    <w:tmpl w:val="1646F03C"/>
    <w:lvl w:ilvl="0">
      <w:start w:val="1"/>
      <w:numFmt w:val="lowerLetter"/>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lowerLetter"/>
      <w:lvlText w:val="%4."/>
      <w:lvlJc w:val="left"/>
      <w:pPr>
        <w:ind w:left="1440" w:hanging="1080"/>
      </w:pPr>
      <w:rPr>
        <w:rFonts w:ascii="Calibri" w:hAnsi="Calibri" w:hint="default"/>
        <w:b w:val="0"/>
        <w:i w:val="0"/>
        <w:sz w:val="22"/>
      </w:rPr>
    </w:lvl>
    <w:lvl w:ilvl="4">
      <w:start w:val="1"/>
      <w:numFmt w:val="decimal"/>
      <w:lvlText w:val="%1.%2.%3.%4.%5"/>
      <w:lvlJc w:val="left"/>
      <w:pPr>
        <w:ind w:left="1800" w:hanging="144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20" w:hanging="2160"/>
      </w:pPr>
      <w:rPr>
        <w:rFonts w:hint="default"/>
      </w:rPr>
    </w:lvl>
    <w:lvl w:ilvl="8">
      <w:start w:val="1"/>
      <w:numFmt w:val="decimal"/>
      <w:lvlText w:val="%1.%2.%3.%4.%5.%6.%7.%8.%9"/>
      <w:lvlJc w:val="left"/>
      <w:pPr>
        <w:ind w:left="2520" w:hanging="2160"/>
      </w:pPr>
      <w:rPr>
        <w:rFont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3"/>
  </w:num>
  <w:num w:numId="5">
    <w:abstractNumId w:val="8"/>
  </w:num>
  <w:num w:numId="6">
    <w:abstractNumId w:val="1"/>
  </w:num>
  <w:num w:numId="7">
    <w:abstractNumId w:val="16"/>
  </w:num>
  <w:num w:numId="8">
    <w:abstractNumId w:val="4"/>
  </w:num>
  <w:num w:numId="9">
    <w:abstractNumId w:val="19"/>
  </w:num>
  <w:num w:numId="10">
    <w:abstractNumId w:val="28"/>
  </w:num>
  <w:num w:numId="11">
    <w:abstractNumId w:val="24"/>
  </w:num>
  <w:num w:numId="12">
    <w:abstractNumId w:val="27"/>
  </w:num>
  <w:num w:numId="13">
    <w:abstractNumId w:val="2"/>
  </w:num>
  <w:num w:numId="14">
    <w:abstractNumId w:val="12"/>
  </w:num>
  <w:num w:numId="15">
    <w:abstractNumId w:val="15"/>
  </w:num>
  <w:num w:numId="16">
    <w:abstractNumId w:val="6"/>
  </w:num>
  <w:num w:numId="17">
    <w:abstractNumId w:val="14"/>
  </w:num>
  <w:num w:numId="18">
    <w:abstractNumId w:val="10"/>
  </w:num>
  <w:num w:numId="19">
    <w:abstractNumId w:val="5"/>
  </w:num>
  <w:num w:numId="20">
    <w:abstractNumId w:val="26"/>
  </w:num>
  <w:num w:numId="21">
    <w:abstractNumId w:val="29"/>
  </w:num>
  <w:num w:numId="22">
    <w:abstractNumId w:val="0"/>
  </w:num>
  <w:num w:numId="23">
    <w:abstractNumId w:val="23"/>
  </w:num>
  <w:num w:numId="24">
    <w:abstractNumId w:val="18"/>
  </w:num>
  <w:num w:numId="25">
    <w:abstractNumId w:val="9"/>
  </w:num>
  <w:num w:numId="2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0"/>
  </w:num>
  <w:num w:numId="29">
    <w:abstractNumId w:val="17"/>
  </w:num>
  <w:num w:numId="30">
    <w:abstractNumId w:val="7"/>
  </w:num>
  <w:num w:numId="31">
    <w:abstractNumId w:val="21"/>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00"/>
  <w:displayHorizontalDrawingGridEvery w:val="2"/>
  <w:characterSpacingControl w:val="doNotCompress"/>
  <w:hdrShapeDefaults>
    <o:shapedefaults v:ext="edit" spidmax="101377">
      <o:colormenu v:ext="edit" strokecolor="none [3212]"/>
    </o:shapedefaults>
  </w:hdrShapeDefaults>
  <w:footnotePr>
    <w:footnote w:id="-1"/>
    <w:footnote w:id="0"/>
  </w:footnotePr>
  <w:endnotePr>
    <w:endnote w:id="-1"/>
    <w:endnote w:id="0"/>
  </w:endnotePr>
  <w:compat/>
  <w:rsids>
    <w:rsidRoot w:val="0002593E"/>
    <w:rsid w:val="0001353D"/>
    <w:rsid w:val="00022DB6"/>
    <w:rsid w:val="0002593E"/>
    <w:rsid w:val="00026D86"/>
    <w:rsid w:val="00030110"/>
    <w:rsid w:val="00031CE6"/>
    <w:rsid w:val="00034FB1"/>
    <w:rsid w:val="00036896"/>
    <w:rsid w:val="0005150B"/>
    <w:rsid w:val="000568E2"/>
    <w:rsid w:val="00064442"/>
    <w:rsid w:val="00081C21"/>
    <w:rsid w:val="00081E69"/>
    <w:rsid w:val="00083013"/>
    <w:rsid w:val="00083870"/>
    <w:rsid w:val="00087634"/>
    <w:rsid w:val="00090C34"/>
    <w:rsid w:val="00090E99"/>
    <w:rsid w:val="00092E29"/>
    <w:rsid w:val="0009419B"/>
    <w:rsid w:val="00096A56"/>
    <w:rsid w:val="000A7925"/>
    <w:rsid w:val="000B511C"/>
    <w:rsid w:val="000B6083"/>
    <w:rsid w:val="000C1122"/>
    <w:rsid w:val="000C337C"/>
    <w:rsid w:val="000C33A2"/>
    <w:rsid w:val="000D2B27"/>
    <w:rsid w:val="000E0F6C"/>
    <w:rsid w:val="000E12EE"/>
    <w:rsid w:val="000E18C9"/>
    <w:rsid w:val="000E6D02"/>
    <w:rsid w:val="000F078B"/>
    <w:rsid w:val="000F3893"/>
    <w:rsid w:val="001115F2"/>
    <w:rsid w:val="00112010"/>
    <w:rsid w:val="00115A50"/>
    <w:rsid w:val="00120277"/>
    <w:rsid w:val="0012157A"/>
    <w:rsid w:val="001215E8"/>
    <w:rsid w:val="00123044"/>
    <w:rsid w:val="00125C4C"/>
    <w:rsid w:val="0013064A"/>
    <w:rsid w:val="0013276C"/>
    <w:rsid w:val="00132787"/>
    <w:rsid w:val="00133D28"/>
    <w:rsid w:val="00135BF5"/>
    <w:rsid w:val="001442A9"/>
    <w:rsid w:val="00145C75"/>
    <w:rsid w:val="001506C5"/>
    <w:rsid w:val="00153B94"/>
    <w:rsid w:val="00162FEF"/>
    <w:rsid w:val="00167535"/>
    <w:rsid w:val="001747FB"/>
    <w:rsid w:val="00175800"/>
    <w:rsid w:val="00177433"/>
    <w:rsid w:val="00181754"/>
    <w:rsid w:val="00183DEA"/>
    <w:rsid w:val="00184D8F"/>
    <w:rsid w:val="00190832"/>
    <w:rsid w:val="00195446"/>
    <w:rsid w:val="001A17E3"/>
    <w:rsid w:val="001A24D4"/>
    <w:rsid w:val="001A5715"/>
    <w:rsid w:val="001A596B"/>
    <w:rsid w:val="001C21C9"/>
    <w:rsid w:val="001C40EA"/>
    <w:rsid w:val="001D0087"/>
    <w:rsid w:val="001D051D"/>
    <w:rsid w:val="001D1F84"/>
    <w:rsid w:val="001D3E7E"/>
    <w:rsid w:val="001D4288"/>
    <w:rsid w:val="001D68A9"/>
    <w:rsid w:val="001D70DE"/>
    <w:rsid w:val="001E76D0"/>
    <w:rsid w:val="001E7B77"/>
    <w:rsid w:val="00210620"/>
    <w:rsid w:val="002212FD"/>
    <w:rsid w:val="00222E6F"/>
    <w:rsid w:val="00224992"/>
    <w:rsid w:val="00236085"/>
    <w:rsid w:val="00247998"/>
    <w:rsid w:val="0025064D"/>
    <w:rsid w:val="00251941"/>
    <w:rsid w:val="00252F00"/>
    <w:rsid w:val="0025404D"/>
    <w:rsid w:val="00265CC6"/>
    <w:rsid w:val="0027233E"/>
    <w:rsid w:val="00272E50"/>
    <w:rsid w:val="002850EB"/>
    <w:rsid w:val="00285F29"/>
    <w:rsid w:val="00290D7E"/>
    <w:rsid w:val="002927D8"/>
    <w:rsid w:val="00295C95"/>
    <w:rsid w:val="002A23B0"/>
    <w:rsid w:val="002A3DAE"/>
    <w:rsid w:val="002A4B0F"/>
    <w:rsid w:val="002A57DD"/>
    <w:rsid w:val="002B0F4A"/>
    <w:rsid w:val="002B3A89"/>
    <w:rsid w:val="002B5473"/>
    <w:rsid w:val="002B5490"/>
    <w:rsid w:val="002C070F"/>
    <w:rsid w:val="002D17F0"/>
    <w:rsid w:val="002D2B7A"/>
    <w:rsid w:val="002D378D"/>
    <w:rsid w:val="002D744F"/>
    <w:rsid w:val="002E34D7"/>
    <w:rsid w:val="002F59F2"/>
    <w:rsid w:val="002F705E"/>
    <w:rsid w:val="0030172E"/>
    <w:rsid w:val="00302753"/>
    <w:rsid w:val="00303E33"/>
    <w:rsid w:val="0030415B"/>
    <w:rsid w:val="00312BD0"/>
    <w:rsid w:val="003146D8"/>
    <w:rsid w:val="003321A2"/>
    <w:rsid w:val="00333479"/>
    <w:rsid w:val="003350D2"/>
    <w:rsid w:val="003430C6"/>
    <w:rsid w:val="00344720"/>
    <w:rsid w:val="00370DA6"/>
    <w:rsid w:val="003721AD"/>
    <w:rsid w:val="0037794F"/>
    <w:rsid w:val="00390872"/>
    <w:rsid w:val="00392920"/>
    <w:rsid w:val="003A0275"/>
    <w:rsid w:val="003A2FFE"/>
    <w:rsid w:val="003B16CF"/>
    <w:rsid w:val="003B24D9"/>
    <w:rsid w:val="003B27DF"/>
    <w:rsid w:val="003B350F"/>
    <w:rsid w:val="003B5ADC"/>
    <w:rsid w:val="003C2562"/>
    <w:rsid w:val="003D3CC8"/>
    <w:rsid w:val="003D5AF3"/>
    <w:rsid w:val="003E2C53"/>
    <w:rsid w:val="003E767A"/>
    <w:rsid w:val="003F0B2A"/>
    <w:rsid w:val="003F6EFE"/>
    <w:rsid w:val="003F7AC5"/>
    <w:rsid w:val="00403DE3"/>
    <w:rsid w:val="004052CB"/>
    <w:rsid w:val="00417FC1"/>
    <w:rsid w:val="00427992"/>
    <w:rsid w:val="00431E5A"/>
    <w:rsid w:val="00436D6A"/>
    <w:rsid w:val="004412C6"/>
    <w:rsid w:val="0045422A"/>
    <w:rsid w:val="00460CE2"/>
    <w:rsid w:val="00462C98"/>
    <w:rsid w:val="00467D1C"/>
    <w:rsid w:val="00486A22"/>
    <w:rsid w:val="004A0349"/>
    <w:rsid w:val="004A2878"/>
    <w:rsid w:val="004B1C66"/>
    <w:rsid w:val="004B68BA"/>
    <w:rsid w:val="004C0380"/>
    <w:rsid w:val="004C18F4"/>
    <w:rsid w:val="004C2516"/>
    <w:rsid w:val="004C6C85"/>
    <w:rsid w:val="004D1C53"/>
    <w:rsid w:val="004D31CD"/>
    <w:rsid w:val="004D7A61"/>
    <w:rsid w:val="004E00CF"/>
    <w:rsid w:val="004E515C"/>
    <w:rsid w:val="004F1422"/>
    <w:rsid w:val="004F5102"/>
    <w:rsid w:val="004F5340"/>
    <w:rsid w:val="004F6FC5"/>
    <w:rsid w:val="00500910"/>
    <w:rsid w:val="00500A9B"/>
    <w:rsid w:val="00501BC3"/>
    <w:rsid w:val="00506496"/>
    <w:rsid w:val="005076C9"/>
    <w:rsid w:val="005179F3"/>
    <w:rsid w:val="00523C8B"/>
    <w:rsid w:val="00531A49"/>
    <w:rsid w:val="005415BA"/>
    <w:rsid w:val="00550A3A"/>
    <w:rsid w:val="00551945"/>
    <w:rsid w:val="00553C99"/>
    <w:rsid w:val="00554C28"/>
    <w:rsid w:val="00555093"/>
    <w:rsid w:val="005736D0"/>
    <w:rsid w:val="00583ABE"/>
    <w:rsid w:val="00583ADD"/>
    <w:rsid w:val="0058515A"/>
    <w:rsid w:val="005855C9"/>
    <w:rsid w:val="005864B5"/>
    <w:rsid w:val="00591DDD"/>
    <w:rsid w:val="00593177"/>
    <w:rsid w:val="0059361E"/>
    <w:rsid w:val="00593FBA"/>
    <w:rsid w:val="005945B8"/>
    <w:rsid w:val="00595FB9"/>
    <w:rsid w:val="005A0A60"/>
    <w:rsid w:val="005A0F40"/>
    <w:rsid w:val="005A2649"/>
    <w:rsid w:val="005A3200"/>
    <w:rsid w:val="005A3C6B"/>
    <w:rsid w:val="005A5F59"/>
    <w:rsid w:val="005B5125"/>
    <w:rsid w:val="005C471F"/>
    <w:rsid w:val="005C4DD2"/>
    <w:rsid w:val="005D3D3E"/>
    <w:rsid w:val="005D72A9"/>
    <w:rsid w:val="005E3976"/>
    <w:rsid w:val="005E4631"/>
    <w:rsid w:val="005E4813"/>
    <w:rsid w:val="005F1F23"/>
    <w:rsid w:val="005F7B76"/>
    <w:rsid w:val="00607320"/>
    <w:rsid w:val="006074A4"/>
    <w:rsid w:val="0061586A"/>
    <w:rsid w:val="00617EBD"/>
    <w:rsid w:val="00620CEA"/>
    <w:rsid w:val="0062341D"/>
    <w:rsid w:val="00624364"/>
    <w:rsid w:val="006343A5"/>
    <w:rsid w:val="0063518D"/>
    <w:rsid w:val="00637D95"/>
    <w:rsid w:val="006446B0"/>
    <w:rsid w:val="0065258C"/>
    <w:rsid w:val="00652694"/>
    <w:rsid w:val="00660FEF"/>
    <w:rsid w:val="006638AA"/>
    <w:rsid w:val="006638AC"/>
    <w:rsid w:val="00664AEB"/>
    <w:rsid w:val="00675D65"/>
    <w:rsid w:val="006764AD"/>
    <w:rsid w:val="00676B70"/>
    <w:rsid w:val="00686C8B"/>
    <w:rsid w:val="00694C81"/>
    <w:rsid w:val="006A2C8E"/>
    <w:rsid w:val="006A549F"/>
    <w:rsid w:val="006A61BC"/>
    <w:rsid w:val="006C3860"/>
    <w:rsid w:val="006C4468"/>
    <w:rsid w:val="006C6F3F"/>
    <w:rsid w:val="006E0AE9"/>
    <w:rsid w:val="006E1D89"/>
    <w:rsid w:val="006E4ADA"/>
    <w:rsid w:val="006E5212"/>
    <w:rsid w:val="007044AB"/>
    <w:rsid w:val="007060E1"/>
    <w:rsid w:val="007111BB"/>
    <w:rsid w:val="00713D58"/>
    <w:rsid w:val="0072039B"/>
    <w:rsid w:val="007216D1"/>
    <w:rsid w:val="00744937"/>
    <w:rsid w:val="00744B17"/>
    <w:rsid w:val="00747618"/>
    <w:rsid w:val="00754381"/>
    <w:rsid w:val="0076503E"/>
    <w:rsid w:val="00765B80"/>
    <w:rsid w:val="00765F08"/>
    <w:rsid w:val="00772ABF"/>
    <w:rsid w:val="00773D3A"/>
    <w:rsid w:val="00782192"/>
    <w:rsid w:val="0078442A"/>
    <w:rsid w:val="00795A6A"/>
    <w:rsid w:val="007973AE"/>
    <w:rsid w:val="007A1D87"/>
    <w:rsid w:val="007A7BC8"/>
    <w:rsid w:val="007B4ACB"/>
    <w:rsid w:val="007C05F3"/>
    <w:rsid w:val="007C0D29"/>
    <w:rsid w:val="007C6596"/>
    <w:rsid w:val="007D017B"/>
    <w:rsid w:val="007D22F6"/>
    <w:rsid w:val="007D286F"/>
    <w:rsid w:val="007D442E"/>
    <w:rsid w:val="007F4CF6"/>
    <w:rsid w:val="007F50CF"/>
    <w:rsid w:val="00804448"/>
    <w:rsid w:val="00823CDF"/>
    <w:rsid w:val="0083085E"/>
    <w:rsid w:val="00833043"/>
    <w:rsid w:val="00833E66"/>
    <w:rsid w:val="0083577C"/>
    <w:rsid w:val="00835D53"/>
    <w:rsid w:val="008455A2"/>
    <w:rsid w:val="008459C4"/>
    <w:rsid w:val="008633BB"/>
    <w:rsid w:val="00865779"/>
    <w:rsid w:val="008735F2"/>
    <w:rsid w:val="0087695B"/>
    <w:rsid w:val="00877354"/>
    <w:rsid w:val="00880965"/>
    <w:rsid w:val="00881C4D"/>
    <w:rsid w:val="00885821"/>
    <w:rsid w:val="00893B04"/>
    <w:rsid w:val="008970E2"/>
    <w:rsid w:val="008A0014"/>
    <w:rsid w:val="008B3D9E"/>
    <w:rsid w:val="008B4FD6"/>
    <w:rsid w:val="008B7EFD"/>
    <w:rsid w:val="008C1641"/>
    <w:rsid w:val="008C3B82"/>
    <w:rsid w:val="008D2149"/>
    <w:rsid w:val="008D46C6"/>
    <w:rsid w:val="008D5277"/>
    <w:rsid w:val="008D70C8"/>
    <w:rsid w:val="008E0BE8"/>
    <w:rsid w:val="008E1B06"/>
    <w:rsid w:val="008F0B33"/>
    <w:rsid w:val="008F116B"/>
    <w:rsid w:val="008F7084"/>
    <w:rsid w:val="00903566"/>
    <w:rsid w:val="009052C8"/>
    <w:rsid w:val="009137BE"/>
    <w:rsid w:val="0091556E"/>
    <w:rsid w:val="009162E6"/>
    <w:rsid w:val="0092030D"/>
    <w:rsid w:val="009228F0"/>
    <w:rsid w:val="00931B21"/>
    <w:rsid w:val="00935F3A"/>
    <w:rsid w:val="009519FD"/>
    <w:rsid w:val="0095610C"/>
    <w:rsid w:val="0096555B"/>
    <w:rsid w:val="00973820"/>
    <w:rsid w:val="00976296"/>
    <w:rsid w:val="00981990"/>
    <w:rsid w:val="00992189"/>
    <w:rsid w:val="009955E1"/>
    <w:rsid w:val="00997CCB"/>
    <w:rsid w:val="009A2155"/>
    <w:rsid w:val="009A4DE0"/>
    <w:rsid w:val="009B2CA4"/>
    <w:rsid w:val="009B3755"/>
    <w:rsid w:val="009B4346"/>
    <w:rsid w:val="009C09FA"/>
    <w:rsid w:val="009C2325"/>
    <w:rsid w:val="009C3D5D"/>
    <w:rsid w:val="009C4572"/>
    <w:rsid w:val="009C4AE4"/>
    <w:rsid w:val="009D6658"/>
    <w:rsid w:val="009E6381"/>
    <w:rsid w:val="009F1516"/>
    <w:rsid w:val="009F2A63"/>
    <w:rsid w:val="009F6205"/>
    <w:rsid w:val="00A01A1D"/>
    <w:rsid w:val="00A02FF3"/>
    <w:rsid w:val="00A1243B"/>
    <w:rsid w:val="00A25A36"/>
    <w:rsid w:val="00A26D31"/>
    <w:rsid w:val="00A27907"/>
    <w:rsid w:val="00A327BE"/>
    <w:rsid w:val="00A37185"/>
    <w:rsid w:val="00A43193"/>
    <w:rsid w:val="00A45551"/>
    <w:rsid w:val="00A73693"/>
    <w:rsid w:val="00A744E5"/>
    <w:rsid w:val="00A75586"/>
    <w:rsid w:val="00A80435"/>
    <w:rsid w:val="00A826F2"/>
    <w:rsid w:val="00A84612"/>
    <w:rsid w:val="00A9113F"/>
    <w:rsid w:val="00AB5864"/>
    <w:rsid w:val="00AB7D2A"/>
    <w:rsid w:val="00AB7E18"/>
    <w:rsid w:val="00AC08DA"/>
    <w:rsid w:val="00AC6DE2"/>
    <w:rsid w:val="00AD1850"/>
    <w:rsid w:val="00AE34CA"/>
    <w:rsid w:val="00AE3ECE"/>
    <w:rsid w:val="00AF597F"/>
    <w:rsid w:val="00AF6D0E"/>
    <w:rsid w:val="00B071CF"/>
    <w:rsid w:val="00B12058"/>
    <w:rsid w:val="00B13DE4"/>
    <w:rsid w:val="00B148F8"/>
    <w:rsid w:val="00B171E7"/>
    <w:rsid w:val="00B17BCA"/>
    <w:rsid w:val="00B2455B"/>
    <w:rsid w:val="00B263C7"/>
    <w:rsid w:val="00B52F6F"/>
    <w:rsid w:val="00B55165"/>
    <w:rsid w:val="00B55DBC"/>
    <w:rsid w:val="00B61DB7"/>
    <w:rsid w:val="00B63CD1"/>
    <w:rsid w:val="00B66FE2"/>
    <w:rsid w:val="00B70A29"/>
    <w:rsid w:val="00B73D6F"/>
    <w:rsid w:val="00B74446"/>
    <w:rsid w:val="00B77E97"/>
    <w:rsid w:val="00B81639"/>
    <w:rsid w:val="00B86E98"/>
    <w:rsid w:val="00B8795D"/>
    <w:rsid w:val="00B9392E"/>
    <w:rsid w:val="00B94303"/>
    <w:rsid w:val="00BA2784"/>
    <w:rsid w:val="00BA2A8B"/>
    <w:rsid w:val="00BA5E9B"/>
    <w:rsid w:val="00BA6CE3"/>
    <w:rsid w:val="00BB37CE"/>
    <w:rsid w:val="00BB6452"/>
    <w:rsid w:val="00BC3954"/>
    <w:rsid w:val="00BC5427"/>
    <w:rsid w:val="00BC5708"/>
    <w:rsid w:val="00BC7658"/>
    <w:rsid w:val="00BD08AE"/>
    <w:rsid w:val="00BE3152"/>
    <w:rsid w:val="00BF2495"/>
    <w:rsid w:val="00BF6CF6"/>
    <w:rsid w:val="00C03E8B"/>
    <w:rsid w:val="00C12271"/>
    <w:rsid w:val="00C145D7"/>
    <w:rsid w:val="00C20B3A"/>
    <w:rsid w:val="00C239DA"/>
    <w:rsid w:val="00C26C79"/>
    <w:rsid w:val="00C3350B"/>
    <w:rsid w:val="00C34201"/>
    <w:rsid w:val="00C37242"/>
    <w:rsid w:val="00C46994"/>
    <w:rsid w:val="00C56898"/>
    <w:rsid w:val="00C638F8"/>
    <w:rsid w:val="00C679E1"/>
    <w:rsid w:val="00C840D2"/>
    <w:rsid w:val="00C85ECC"/>
    <w:rsid w:val="00C93BFD"/>
    <w:rsid w:val="00C94A61"/>
    <w:rsid w:val="00CA4016"/>
    <w:rsid w:val="00CA48A1"/>
    <w:rsid w:val="00CA5D69"/>
    <w:rsid w:val="00CA5F29"/>
    <w:rsid w:val="00CA6335"/>
    <w:rsid w:val="00CA6EF8"/>
    <w:rsid w:val="00CB38B5"/>
    <w:rsid w:val="00CB7DEC"/>
    <w:rsid w:val="00CC0B68"/>
    <w:rsid w:val="00CD0B38"/>
    <w:rsid w:val="00CD1EB5"/>
    <w:rsid w:val="00CE6A7A"/>
    <w:rsid w:val="00CF3D30"/>
    <w:rsid w:val="00CF5473"/>
    <w:rsid w:val="00CF583B"/>
    <w:rsid w:val="00CF76D8"/>
    <w:rsid w:val="00D00C0E"/>
    <w:rsid w:val="00D04C84"/>
    <w:rsid w:val="00D0712A"/>
    <w:rsid w:val="00D11F60"/>
    <w:rsid w:val="00D12D4E"/>
    <w:rsid w:val="00D13E66"/>
    <w:rsid w:val="00D1675C"/>
    <w:rsid w:val="00D1793D"/>
    <w:rsid w:val="00D26B22"/>
    <w:rsid w:val="00D413CB"/>
    <w:rsid w:val="00D42679"/>
    <w:rsid w:val="00D56863"/>
    <w:rsid w:val="00D6142A"/>
    <w:rsid w:val="00D61454"/>
    <w:rsid w:val="00D62C9F"/>
    <w:rsid w:val="00D67A16"/>
    <w:rsid w:val="00D736F6"/>
    <w:rsid w:val="00D74696"/>
    <w:rsid w:val="00D84159"/>
    <w:rsid w:val="00D97FC6"/>
    <w:rsid w:val="00DA636B"/>
    <w:rsid w:val="00DB18D1"/>
    <w:rsid w:val="00DB47B6"/>
    <w:rsid w:val="00DC221F"/>
    <w:rsid w:val="00DC5A24"/>
    <w:rsid w:val="00DC5C70"/>
    <w:rsid w:val="00DC6312"/>
    <w:rsid w:val="00DC75EA"/>
    <w:rsid w:val="00DD114B"/>
    <w:rsid w:val="00DD2273"/>
    <w:rsid w:val="00DE000C"/>
    <w:rsid w:val="00DE40B8"/>
    <w:rsid w:val="00DE4EEC"/>
    <w:rsid w:val="00DF0D2C"/>
    <w:rsid w:val="00DF341A"/>
    <w:rsid w:val="00DF3ECA"/>
    <w:rsid w:val="00DF4804"/>
    <w:rsid w:val="00DF63E0"/>
    <w:rsid w:val="00E02DBA"/>
    <w:rsid w:val="00E06A22"/>
    <w:rsid w:val="00E1071A"/>
    <w:rsid w:val="00E124F9"/>
    <w:rsid w:val="00E25A1A"/>
    <w:rsid w:val="00E3222E"/>
    <w:rsid w:val="00E3341C"/>
    <w:rsid w:val="00E50179"/>
    <w:rsid w:val="00E543A6"/>
    <w:rsid w:val="00E55A9E"/>
    <w:rsid w:val="00E5789A"/>
    <w:rsid w:val="00E6241F"/>
    <w:rsid w:val="00E65607"/>
    <w:rsid w:val="00E72216"/>
    <w:rsid w:val="00E92028"/>
    <w:rsid w:val="00E9269E"/>
    <w:rsid w:val="00E9479B"/>
    <w:rsid w:val="00E971E7"/>
    <w:rsid w:val="00EA4C74"/>
    <w:rsid w:val="00ED1CE2"/>
    <w:rsid w:val="00ED2D9B"/>
    <w:rsid w:val="00EE73AE"/>
    <w:rsid w:val="00EE7DE1"/>
    <w:rsid w:val="00EF0DAF"/>
    <w:rsid w:val="00EF1D4B"/>
    <w:rsid w:val="00EF6799"/>
    <w:rsid w:val="00F003CD"/>
    <w:rsid w:val="00F028D3"/>
    <w:rsid w:val="00F14C82"/>
    <w:rsid w:val="00F27063"/>
    <w:rsid w:val="00F379CD"/>
    <w:rsid w:val="00F4033A"/>
    <w:rsid w:val="00F414C1"/>
    <w:rsid w:val="00F41A37"/>
    <w:rsid w:val="00F4439A"/>
    <w:rsid w:val="00F55A26"/>
    <w:rsid w:val="00F55B56"/>
    <w:rsid w:val="00F564D0"/>
    <w:rsid w:val="00F57DA9"/>
    <w:rsid w:val="00F671BF"/>
    <w:rsid w:val="00F67831"/>
    <w:rsid w:val="00F74CEF"/>
    <w:rsid w:val="00F76027"/>
    <w:rsid w:val="00F8274A"/>
    <w:rsid w:val="00F84C9A"/>
    <w:rsid w:val="00F90929"/>
    <w:rsid w:val="00F91057"/>
    <w:rsid w:val="00F916A6"/>
    <w:rsid w:val="00F91851"/>
    <w:rsid w:val="00F91DE8"/>
    <w:rsid w:val="00F95BAB"/>
    <w:rsid w:val="00F9615B"/>
    <w:rsid w:val="00F968C9"/>
    <w:rsid w:val="00FA4871"/>
    <w:rsid w:val="00FA7DFA"/>
    <w:rsid w:val="00FB30EC"/>
    <w:rsid w:val="00FB5ABE"/>
    <w:rsid w:val="00FC1BC1"/>
    <w:rsid w:val="00FC54E9"/>
    <w:rsid w:val="00FD7D5D"/>
    <w:rsid w:val="00FE19C1"/>
    <w:rsid w:val="00FE2907"/>
    <w:rsid w:val="00FE33F7"/>
    <w:rsid w:val="00FF0B25"/>
    <w:rsid w:val="00FF2E2B"/>
    <w:rsid w:val="00FF4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013"/>
  </w:style>
  <w:style w:type="paragraph" w:styleId="Heading1">
    <w:name w:val="heading 1"/>
    <w:basedOn w:val="Normal"/>
    <w:next w:val="Normal"/>
    <w:autoRedefine/>
    <w:qFormat/>
    <w:rsid w:val="001D68A9"/>
    <w:pPr>
      <w:keepNext/>
      <w:ind w:left="450" w:hanging="450"/>
      <w:outlineLvl w:val="0"/>
    </w:pPr>
    <w:rPr>
      <w:rFonts w:ascii="Arial" w:hAnsi="Arial" w:cs="Arial"/>
      <w:b/>
      <w:bCs/>
      <w:sz w:val="22"/>
      <w:szCs w:val="22"/>
    </w:rPr>
  </w:style>
  <w:style w:type="paragraph" w:styleId="Heading2">
    <w:name w:val="heading 2"/>
    <w:basedOn w:val="Title"/>
    <w:next w:val="Normal"/>
    <w:autoRedefine/>
    <w:qFormat/>
    <w:rsid w:val="007D442E"/>
    <w:pPr>
      <w:keepNext/>
      <w:keepLines/>
      <w:spacing w:before="0" w:after="0"/>
      <w:jc w:val="left"/>
      <w:outlineLvl w:val="1"/>
    </w:pPr>
    <w:rPr>
      <w:rFonts w:ascii="Calibri" w:hAnsi="Calibri"/>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StyleHeading2Vedana10pt"/>
    <w:next w:val="Normal"/>
    <w:autoRedefine/>
    <w:uiPriority w:val="39"/>
    <w:rsid w:val="00B13DE4"/>
    <w:pPr>
      <w:spacing w:before="120" w:after="120"/>
    </w:pPr>
    <w:rPr>
      <w:rFonts w:ascii="Calibri" w:hAnsi="Calibri"/>
      <w:b w:val="0"/>
      <w:color w:val="auto"/>
      <w:sz w:val="24"/>
    </w:rPr>
  </w:style>
  <w:style w:type="paragraph" w:customStyle="1" w:styleId="BodyContent">
    <w:name w:val="Body Content"/>
    <w:basedOn w:val="Normal"/>
    <w:autoRedefine/>
    <w:rsid w:val="00A826F2"/>
    <w:rPr>
      <w:sz w:val="22"/>
      <w:szCs w:val="22"/>
    </w:rPr>
  </w:style>
  <w:style w:type="character" w:customStyle="1" w:styleId="StyleBlack">
    <w:name w:val="Style Black"/>
    <w:basedOn w:val="DefaultParagraphFont"/>
    <w:rsid w:val="00090C34"/>
    <w:rPr>
      <w:rFonts w:ascii="Verdana" w:hAnsi="Verdana"/>
      <w:color w:val="000000"/>
      <w:sz w:val="22"/>
    </w:rPr>
  </w:style>
  <w:style w:type="paragraph" w:styleId="BodyText">
    <w:name w:val="Body Text"/>
    <w:aliases w:val="Body Text - DEFAULT"/>
    <w:basedOn w:val="Normal"/>
    <w:autoRedefine/>
    <w:rsid w:val="007F50CF"/>
    <w:pPr>
      <w:numPr>
        <w:ilvl w:val="1"/>
        <w:numId w:val="23"/>
      </w:numPr>
      <w:jc w:val="both"/>
    </w:pPr>
    <w:rPr>
      <w:rFonts w:asciiTheme="minorHAnsi" w:eastAsia="Verdana" w:hAnsiTheme="minorHAnsi" w:cs="Arial"/>
      <w:sz w:val="22"/>
      <w:szCs w:val="22"/>
    </w:rPr>
  </w:style>
  <w:style w:type="paragraph" w:customStyle="1" w:styleId="Style10pt">
    <w:name w:val="Style 10 pt"/>
    <w:basedOn w:val="Normal"/>
    <w:rsid w:val="00F4439A"/>
  </w:style>
  <w:style w:type="paragraph" w:styleId="FootnoteText">
    <w:name w:val="footnote text"/>
    <w:basedOn w:val="Normal"/>
    <w:link w:val="FootnoteTextChar"/>
    <w:autoRedefine/>
    <w:uiPriority w:val="99"/>
    <w:semiHidden/>
    <w:rsid w:val="00183DEA"/>
    <w:rPr>
      <w:sz w:val="18"/>
    </w:rPr>
  </w:style>
  <w:style w:type="paragraph" w:customStyle="1" w:styleId="StyleHeading2Vedana10pt">
    <w:name w:val="Style Heading 2 + Vedana 10 pt"/>
    <w:basedOn w:val="Heading2"/>
    <w:next w:val="Normal"/>
    <w:autoRedefine/>
    <w:rsid w:val="00183DEA"/>
    <w:rPr>
      <w:rFonts w:ascii="Verdana" w:hAnsi="Verdana" w:cs="Times New Roman"/>
      <w:iCs/>
      <w:color w:val="292929"/>
      <w:sz w:val="20"/>
    </w:rPr>
  </w:style>
  <w:style w:type="character" w:styleId="Hyperlink">
    <w:name w:val="Hyperlink"/>
    <w:basedOn w:val="DefaultParagraphFont"/>
    <w:uiPriority w:val="99"/>
    <w:rsid w:val="00183DEA"/>
    <w:rPr>
      <w:rFonts w:ascii="Verdana" w:hAnsi="Verdana"/>
      <w:color w:val="0000FF"/>
      <w:sz w:val="20"/>
      <w:u w:val="single"/>
    </w:rPr>
  </w:style>
  <w:style w:type="paragraph" w:styleId="Title">
    <w:name w:val="Title"/>
    <w:basedOn w:val="Normal"/>
    <w:qFormat/>
    <w:rsid w:val="00183DEA"/>
    <w:pPr>
      <w:spacing w:before="240" w:after="60"/>
      <w:jc w:val="center"/>
      <w:outlineLvl w:val="0"/>
    </w:pPr>
    <w:rPr>
      <w:rFonts w:ascii="Arial" w:hAnsi="Arial" w:cs="Arial"/>
      <w:b/>
      <w:bCs/>
      <w:kern w:val="28"/>
      <w:sz w:val="32"/>
      <w:szCs w:val="32"/>
    </w:rPr>
  </w:style>
  <w:style w:type="paragraph" w:customStyle="1" w:styleId="BodyContentReport">
    <w:name w:val="Body Content Report"/>
    <w:basedOn w:val="Normal"/>
    <w:autoRedefine/>
    <w:rsid w:val="007111BB"/>
    <w:pPr>
      <w:tabs>
        <w:tab w:val="left" w:pos="216"/>
        <w:tab w:val="left" w:pos="360"/>
        <w:tab w:val="left" w:pos="504"/>
        <w:tab w:val="left" w:pos="720"/>
      </w:tabs>
      <w:spacing w:line="270" w:lineRule="exact"/>
      <w:ind w:left="1296"/>
      <w:jc w:val="both"/>
    </w:pPr>
  </w:style>
  <w:style w:type="table" w:customStyle="1" w:styleId="TableHeader">
    <w:name w:val="Table Header"/>
    <w:basedOn w:val="TableList4"/>
    <w:rsid w:val="00183DEA"/>
    <w:rPr>
      <w:rFonts w:ascii="Verdana" w:hAnsi="Verdana"/>
      <w:b/>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ableContent">
    <w:name w:val="Table Content"/>
    <w:basedOn w:val="Normal"/>
    <w:autoRedefine/>
    <w:rsid w:val="00183DEA"/>
  </w:style>
  <w:style w:type="character" w:customStyle="1" w:styleId="TOCTitle">
    <w:name w:val="TOC Title"/>
    <w:rsid w:val="00183DEA"/>
    <w:rPr>
      <w:rFonts w:ascii="Verdana" w:hAnsi="Verdana"/>
      <w:b/>
      <w:dstrike w:val="0"/>
      <w:color w:val="333333"/>
      <w:spacing w:val="0"/>
      <w:w w:val="100"/>
      <w:kern w:val="0"/>
      <w:position w:val="0"/>
      <w:sz w:val="24"/>
      <w:vertAlign w:val="baseline"/>
    </w:rPr>
  </w:style>
  <w:style w:type="paragraph" w:customStyle="1" w:styleId="TOCJ1">
    <w:name w:val="TOC J1"/>
    <w:basedOn w:val="Normal"/>
    <w:autoRedefine/>
    <w:rsid w:val="00183DEA"/>
    <w:pPr>
      <w:spacing w:before="120" w:after="120"/>
    </w:pPr>
    <w:rPr>
      <w:color w:val="4D4D4D"/>
    </w:rPr>
  </w:style>
  <w:style w:type="paragraph" w:customStyle="1" w:styleId="TOCJ2">
    <w:name w:val="TOCJ2"/>
    <w:basedOn w:val="TOCJ1"/>
    <w:autoRedefine/>
    <w:rsid w:val="00183DEA"/>
    <w:pPr>
      <w:ind w:left="720"/>
    </w:pPr>
  </w:style>
  <w:style w:type="table" w:styleId="TableList4">
    <w:name w:val="Table List 4"/>
    <w:basedOn w:val="TableNormal"/>
    <w:rsid w:val="00183DE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bjectHeading1">
    <w:name w:val="Subject Heading 1"/>
    <w:basedOn w:val="Normal"/>
    <w:next w:val="Normal"/>
    <w:autoRedefine/>
    <w:rsid w:val="00183DEA"/>
    <w:pPr>
      <w:spacing w:after="120"/>
    </w:pPr>
    <w:rPr>
      <w:color w:val="292929"/>
      <w:sz w:val="24"/>
    </w:rPr>
  </w:style>
  <w:style w:type="paragraph" w:customStyle="1" w:styleId="SubjectHeading2">
    <w:name w:val="Subject Heading 2"/>
    <w:basedOn w:val="Normal"/>
    <w:autoRedefine/>
    <w:rsid w:val="007111BB"/>
    <w:pPr>
      <w:spacing w:after="120"/>
      <w:ind w:left="720"/>
    </w:pPr>
    <w:rPr>
      <w:b/>
      <w:color w:val="4D4D4D"/>
    </w:rPr>
  </w:style>
  <w:style w:type="paragraph" w:customStyle="1" w:styleId="JHeader">
    <w:name w:val="JHeader"/>
    <w:basedOn w:val="Normal"/>
    <w:autoRedefine/>
    <w:rsid w:val="007111BB"/>
    <w:pPr>
      <w:jc w:val="right"/>
    </w:pPr>
    <w:rPr>
      <w:color w:val="969696"/>
      <w:sz w:val="18"/>
    </w:rPr>
  </w:style>
  <w:style w:type="paragraph" w:customStyle="1" w:styleId="SubjectHeading1A">
    <w:name w:val="Subject Heading 1A"/>
    <w:basedOn w:val="SubjectHeading1"/>
    <w:autoRedefine/>
    <w:rsid w:val="007111BB"/>
    <w:pPr>
      <w:tabs>
        <w:tab w:val="left" w:pos="216"/>
      </w:tabs>
    </w:pPr>
    <w:rPr>
      <w:b/>
      <w:sz w:val="22"/>
    </w:rPr>
  </w:style>
  <w:style w:type="paragraph" w:styleId="Header">
    <w:name w:val="header"/>
    <w:basedOn w:val="Normal"/>
    <w:rsid w:val="00083013"/>
    <w:pPr>
      <w:tabs>
        <w:tab w:val="center" w:pos="4320"/>
        <w:tab w:val="right" w:pos="8640"/>
      </w:tabs>
    </w:pPr>
  </w:style>
  <w:style w:type="paragraph" w:styleId="Footer">
    <w:name w:val="footer"/>
    <w:basedOn w:val="Normal"/>
    <w:link w:val="FooterChar"/>
    <w:uiPriority w:val="99"/>
    <w:rsid w:val="00083013"/>
    <w:pPr>
      <w:tabs>
        <w:tab w:val="center" w:pos="4320"/>
        <w:tab w:val="right" w:pos="8640"/>
      </w:tabs>
    </w:pPr>
  </w:style>
  <w:style w:type="table" w:styleId="TableGrid">
    <w:name w:val="Table Grid"/>
    <w:basedOn w:val="TableNormal"/>
    <w:rsid w:val="000830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elltext">
    <w:name w:val="celltext"/>
    <w:basedOn w:val="DefaultParagraphFont"/>
    <w:rsid w:val="004F1422"/>
  </w:style>
  <w:style w:type="paragraph" w:styleId="NormalWeb">
    <w:name w:val="Normal (Web)"/>
    <w:basedOn w:val="Normal"/>
    <w:uiPriority w:val="99"/>
    <w:rsid w:val="004F1422"/>
    <w:pPr>
      <w:spacing w:line="240" w:lineRule="atLeast"/>
    </w:pPr>
    <w:rPr>
      <w:color w:val="535353"/>
      <w:sz w:val="17"/>
      <w:szCs w:val="17"/>
    </w:rPr>
  </w:style>
  <w:style w:type="character" w:customStyle="1" w:styleId="FooterChar">
    <w:name w:val="Footer Char"/>
    <w:basedOn w:val="DefaultParagraphFont"/>
    <w:link w:val="Footer"/>
    <w:uiPriority w:val="99"/>
    <w:rsid w:val="00064442"/>
  </w:style>
  <w:style w:type="paragraph" w:styleId="BalloonText">
    <w:name w:val="Balloon Text"/>
    <w:basedOn w:val="Normal"/>
    <w:link w:val="BalloonTextChar"/>
    <w:rsid w:val="00694C81"/>
    <w:rPr>
      <w:rFonts w:ascii="Tahoma" w:hAnsi="Tahoma" w:cs="Tahoma"/>
      <w:sz w:val="16"/>
      <w:szCs w:val="16"/>
    </w:rPr>
  </w:style>
  <w:style w:type="character" w:customStyle="1" w:styleId="BalloonTextChar">
    <w:name w:val="Balloon Text Char"/>
    <w:basedOn w:val="DefaultParagraphFont"/>
    <w:link w:val="BalloonText"/>
    <w:rsid w:val="00694C81"/>
    <w:rPr>
      <w:rFonts w:ascii="Tahoma" w:hAnsi="Tahoma" w:cs="Tahoma"/>
      <w:sz w:val="16"/>
      <w:szCs w:val="16"/>
    </w:rPr>
  </w:style>
  <w:style w:type="paragraph" w:styleId="TOCHeading">
    <w:name w:val="TOC Heading"/>
    <w:basedOn w:val="Heading1"/>
    <w:next w:val="Normal"/>
    <w:uiPriority w:val="39"/>
    <w:unhideWhenUsed/>
    <w:qFormat/>
    <w:rsid w:val="00F41A37"/>
    <w:pPr>
      <w:keepLines/>
      <w:spacing w:before="480" w:line="276" w:lineRule="auto"/>
      <w:outlineLvl w:val="9"/>
    </w:pPr>
    <w:rPr>
      <w:rFonts w:ascii="Cambria" w:hAnsi="Cambria"/>
      <w:color w:val="365F91"/>
    </w:rPr>
  </w:style>
  <w:style w:type="paragraph" w:styleId="TOC2">
    <w:name w:val="toc 2"/>
    <w:basedOn w:val="Normal"/>
    <w:next w:val="Normal"/>
    <w:autoRedefine/>
    <w:uiPriority w:val="39"/>
    <w:rsid w:val="00B13DE4"/>
    <w:pPr>
      <w:spacing w:after="100"/>
      <w:ind w:left="200"/>
    </w:pPr>
    <w:rPr>
      <w:rFonts w:ascii="Calibri" w:hAnsi="Calibri"/>
      <w:sz w:val="24"/>
    </w:rPr>
  </w:style>
  <w:style w:type="paragraph" w:styleId="ListParagraph">
    <w:name w:val="List Paragraph"/>
    <w:basedOn w:val="Normal"/>
    <w:uiPriority w:val="34"/>
    <w:qFormat/>
    <w:rsid w:val="00C26C79"/>
    <w:pPr>
      <w:ind w:left="720"/>
      <w:contextualSpacing/>
    </w:pPr>
  </w:style>
  <w:style w:type="paragraph" w:customStyle="1" w:styleId="Default">
    <w:name w:val="Default"/>
    <w:rsid w:val="00D1675C"/>
    <w:pPr>
      <w:widowControl w:val="0"/>
      <w:autoSpaceDE w:val="0"/>
      <w:autoSpaceDN w:val="0"/>
      <w:adjustRightInd w:val="0"/>
    </w:pPr>
    <w:rPr>
      <w:color w:val="000000"/>
      <w:sz w:val="24"/>
      <w:szCs w:val="24"/>
    </w:rPr>
  </w:style>
  <w:style w:type="paragraph" w:customStyle="1" w:styleId="CM9">
    <w:name w:val="CM9"/>
    <w:basedOn w:val="Default"/>
    <w:next w:val="Default"/>
    <w:rsid w:val="00D1675C"/>
    <w:pPr>
      <w:spacing w:after="258"/>
    </w:pPr>
    <w:rPr>
      <w:color w:val="auto"/>
    </w:rPr>
  </w:style>
  <w:style w:type="character" w:styleId="FootnoteReference">
    <w:name w:val="footnote reference"/>
    <w:basedOn w:val="DefaultParagraphFont"/>
    <w:uiPriority w:val="99"/>
    <w:rsid w:val="003C2562"/>
    <w:rPr>
      <w:rFonts w:cs="Times New Roman"/>
      <w:vertAlign w:val="superscript"/>
    </w:rPr>
  </w:style>
  <w:style w:type="character" w:customStyle="1" w:styleId="FootnoteTextChar">
    <w:name w:val="Footnote Text Char"/>
    <w:basedOn w:val="DefaultParagraphFont"/>
    <w:link w:val="FootnoteText"/>
    <w:uiPriority w:val="99"/>
    <w:semiHidden/>
    <w:rsid w:val="00EF1D4B"/>
    <w:rPr>
      <w:sz w:val="18"/>
    </w:rPr>
  </w:style>
  <w:style w:type="character" w:customStyle="1" w:styleId="apple-style-span">
    <w:name w:val="apple-style-span"/>
    <w:basedOn w:val="DefaultParagraphFont"/>
    <w:rsid w:val="00D61454"/>
  </w:style>
  <w:style w:type="character" w:customStyle="1" w:styleId="apple-converted-space">
    <w:name w:val="apple-converted-space"/>
    <w:basedOn w:val="DefaultParagraphFont"/>
    <w:rsid w:val="00D61454"/>
  </w:style>
  <w:style w:type="character" w:styleId="Strong">
    <w:name w:val="Strong"/>
    <w:basedOn w:val="DefaultParagraphFont"/>
    <w:uiPriority w:val="22"/>
    <w:qFormat/>
    <w:rsid w:val="00D61454"/>
    <w:rPr>
      <w:b/>
      <w:bCs/>
    </w:rPr>
  </w:style>
</w:styles>
</file>

<file path=word/webSettings.xml><?xml version="1.0" encoding="utf-8"?>
<w:webSettings xmlns:r="http://schemas.openxmlformats.org/officeDocument/2006/relationships" xmlns:w="http://schemas.openxmlformats.org/wordprocessingml/2006/main">
  <w:divs>
    <w:div w:id="1080252899">
      <w:bodyDiv w:val="1"/>
      <w:marLeft w:val="0"/>
      <w:marRight w:val="0"/>
      <w:marTop w:val="0"/>
      <w:marBottom w:val="0"/>
      <w:divBdr>
        <w:top w:val="none" w:sz="0" w:space="0" w:color="auto"/>
        <w:left w:val="none" w:sz="0" w:space="0" w:color="auto"/>
        <w:bottom w:val="none" w:sz="0" w:space="0" w:color="auto"/>
        <w:right w:val="none" w:sz="0" w:space="0" w:color="auto"/>
      </w:divBdr>
    </w:div>
    <w:div w:id="1131745423">
      <w:bodyDiv w:val="1"/>
      <w:marLeft w:val="0"/>
      <w:marRight w:val="0"/>
      <w:marTop w:val="0"/>
      <w:marBottom w:val="0"/>
      <w:divBdr>
        <w:top w:val="none" w:sz="0" w:space="0" w:color="auto"/>
        <w:left w:val="none" w:sz="0" w:space="0" w:color="auto"/>
        <w:bottom w:val="none" w:sz="0" w:space="0" w:color="auto"/>
        <w:right w:val="none" w:sz="0" w:space="0" w:color="auto"/>
      </w:divBdr>
      <w:divsChild>
        <w:div w:id="1800295188">
          <w:marLeft w:val="0"/>
          <w:marRight w:val="0"/>
          <w:marTop w:val="0"/>
          <w:marBottom w:val="0"/>
          <w:divBdr>
            <w:top w:val="none" w:sz="0" w:space="0" w:color="auto"/>
            <w:left w:val="none" w:sz="0" w:space="0" w:color="auto"/>
            <w:bottom w:val="none" w:sz="0" w:space="0" w:color="auto"/>
            <w:right w:val="none" w:sz="0" w:space="0" w:color="auto"/>
          </w:divBdr>
          <w:divsChild>
            <w:div w:id="1530534957">
              <w:marLeft w:val="0"/>
              <w:marRight w:val="0"/>
              <w:marTop w:val="0"/>
              <w:marBottom w:val="0"/>
              <w:divBdr>
                <w:top w:val="none" w:sz="0" w:space="0" w:color="auto"/>
                <w:left w:val="none" w:sz="0" w:space="0" w:color="auto"/>
                <w:bottom w:val="none" w:sz="0" w:space="0" w:color="auto"/>
                <w:right w:val="none" w:sz="0" w:space="0" w:color="auto"/>
              </w:divBdr>
              <w:divsChild>
                <w:div w:id="216549160">
                  <w:marLeft w:val="0"/>
                  <w:marRight w:val="0"/>
                  <w:marTop w:val="0"/>
                  <w:marBottom w:val="0"/>
                  <w:divBdr>
                    <w:top w:val="none" w:sz="0" w:space="0" w:color="auto"/>
                    <w:left w:val="none" w:sz="0" w:space="0" w:color="auto"/>
                    <w:bottom w:val="none" w:sz="0" w:space="0" w:color="auto"/>
                    <w:right w:val="none" w:sz="0" w:space="0" w:color="auto"/>
                  </w:divBdr>
                  <w:divsChild>
                    <w:div w:id="9763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66178">
      <w:bodyDiv w:val="1"/>
      <w:marLeft w:val="0"/>
      <w:marRight w:val="0"/>
      <w:marTop w:val="0"/>
      <w:marBottom w:val="0"/>
      <w:divBdr>
        <w:top w:val="none" w:sz="0" w:space="0" w:color="auto"/>
        <w:left w:val="none" w:sz="0" w:space="0" w:color="auto"/>
        <w:bottom w:val="none" w:sz="0" w:space="0" w:color="auto"/>
        <w:right w:val="none" w:sz="0" w:space="0" w:color="auto"/>
      </w:divBdr>
      <w:divsChild>
        <w:div w:id="632446444">
          <w:marLeft w:val="0"/>
          <w:marRight w:val="0"/>
          <w:marTop w:val="0"/>
          <w:marBottom w:val="0"/>
          <w:divBdr>
            <w:top w:val="none" w:sz="0" w:space="0" w:color="auto"/>
            <w:left w:val="none" w:sz="0" w:space="0" w:color="auto"/>
            <w:bottom w:val="none" w:sz="0" w:space="0" w:color="auto"/>
            <w:right w:val="none" w:sz="0" w:space="0" w:color="auto"/>
          </w:divBdr>
          <w:divsChild>
            <w:div w:id="592205004">
              <w:marLeft w:val="0"/>
              <w:marRight w:val="0"/>
              <w:marTop w:val="0"/>
              <w:marBottom w:val="0"/>
              <w:divBdr>
                <w:top w:val="none" w:sz="0" w:space="0" w:color="auto"/>
                <w:left w:val="none" w:sz="0" w:space="0" w:color="auto"/>
                <w:bottom w:val="none" w:sz="0" w:space="0" w:color="auto"/>
                <w:right w:val="none" w:sz="0" w:space="0" w:color="auto"/>
              </w:divBdr>
              <w:divsChild>
                <w:div w:id="703405049">
                  <w:marLeft w:val="0"/>
                  <w:marRight w:val="0"/>
                  <w:marTop w:val="0"/>
                  <w:marBottom w:val="0"/>
                  <w:divBdr>
                    <w:top w:val="none" w:sz="0" w:space="0" w:color="auto"/>
                    <w:left w:val="none" w:sz="0" w:space="0" w:color="auto"/>
                    <w:bottom w:val="none" w:sz="0" w:space="0" w:color="auto"/>
                    <w:right w:val="none" w:sz="0" w:space="0" w:color="auto"/>
                  </w:divBdr>
                  <w:divsChild>
                    <w:div w:id="1065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6870">
      <w:bodyDiv w:val="1"/>
      <w:marLeft w:val="0"/>
      <w:marRight w:val="0"/>
      <w:marTop w:val="0"/>
      <w:marBottom w:val="0"/>
      <w:divBdr>
        <w:top w:val="none" w:sz="0" w:space="0" w:color="auto"/>
        <w:left w:val="none" w:sz="0" w:space="0" w:color="auto"/>
        <w:bottom w:val="none" w:sz="0" w:space="0" w:color="auto"/>
        <w:right w:val="none" w:sz="0" w:space="0" w:color="auto"/>
      </w:divBdr>
      <w:divsChild>
        <w:div w:id="1849979140">
          <w:marLeft w:val="0"/>
          <w:marRight w:val="0"/>
          <w:marTop w:val="0"/>
          <w:marBottom w:val="0"/>
          <w:divBdr>
            <w:top w:val="none" w:sz="0" w:space="0" w:color="auto"/>
            <w:left w:val="none" w:sz="0" w:space="0" w:color="auto"/>
            <w:bottom w:val="none" w:sz="0" w:space="0" w:color="auto"/>
            <w:right w:val="none" w:sz="0" w:space="0" w:color="auto"/>
          </w:divBdr>
        </w:div>
      </w:divsChild>
    </w:div>
    <w:div w:id="1867064433">
      <w:bodyDiv w:val="1"/>
      <w:marLeft w:val="0"/>
      <w:marRight w:val="0"/>
      <w:marTop w:val="0"/>
      <w:marBottom w:val="0"/>
      <w:divBdr>
        <w:top w:val="none" w:sz="0" w:space="0" w:color="auto"/>
        <w:left w:val="none" w:sz="0" w:space="0" w:color="auto"/>
        <w:bottom w:val="none" w:sz="0" w:space="0" w:color="auto"/>
        <w:right w:val="none" w:sz="0" w:space="0" w:color="auto"/>
      </w:divBdr>
      <w:divsChild>
        <w:div w:id="910626756">
          <w:marLeft w:val="0"/>
          <w:marRight w:val="0"/>
          <w:marTop w:val="0"/>
          <w:marBottom w:val="0"/>
          <w:divBdr>
            <w:top w:val="none" w:sz="0" w:space="0" w:color="auto"/>
            <w:left w:val="none" w:sz="0" w:space="0" w:color="auto"/>
            <w:bottom w:val="none" w:sz="0" w:space="0" w:color="auto"/>
            <w:right w:val="none" w:sz="0" w:space="0" w:color="auto"/>
          </w:divBdr>
          <w:divsChild>
            <w:div w:id="854612886">
              <w:marLeft w:val="0"/>
              <w:marRight w:val="0"/>
              <w:marTop w:val="0"/>
              <w:marBottom w:val="0"/>
              <w:divBdr>
                <w:top w:val="none" w:sz="0" w:space="0" w:color="auto"/>
                <w:left w:val="none" w:sz="0" w:space="0" w:color="auto"/>
                <w:bottom w:val="none" w:sz="0" w:space="0" w:color="auto"/>
                <w:right w:val="none" w:sz="0" w:space="0" w:color="auto"/>
              </w:divBdr>
              <w:divsChild>
                <w:div w:id="1278676867">
                  <w:marLeft w:val="0"/>
                  <w:marRight w:val="0"/>
                  <w:marTop w:val="0"/>
                  <w:marBottom w:val="0"/>
                  <w:divBdr>
                    <w:top w:val="none" w:sz="0" w:space="0" w:color="auto"/>
                    <w:left w:val="none" w:sz="0" w:space="0" w:color="auto"/>
                    <w:bottom w:val="none" w:sz="0" w:space="0" w:color="auto"/>
                    <w:right w:val="none" w:sz="0" w:space="0" w:color="auto"/>
                  </w:divBdr>
                  <w:divsChild>
                    <w:div w:id="13992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612420">
      <w:bodyDiv w:val="1"/>
      <w:marLeft w:val="0"/>
      <w:marRight w:val="0"/>
      <w:marTop w:val="0"/>
      <w:marBottom w:val="0"/>
      <w:divBdr>
        <w:top w:val="none" w:sz="0" w:space="0" w:color="auto"/>
        <w:left w:val="none" w:sz="0" w:space="0" w:color="auto"/>
        <w:bottom w:val="none" w:sz="0" w:space="0" w:color="auto"/>
        <w:right w:val="none" w:sz="0" w:space="0" w:color="auto"/>
      </w:divBdr>
      <w:divsChild>
        <w:div w:id="2048985669">
          <w:marLeft w:val="0"/>
          <w:marRight w:val="0"/>
          <w:marTop w:val="0"/>
          <w:marBottom w:val="0"/>
          <w:divBdr>
            <w:top w:val="none" w:sz="0" w:space="0" w:color="auto"/>
            <w:left w:val="none" w:sz="0" w:space="0" w:color="auto"/>
            <w:bottom w:val="none" w:sz="0" w:space="0" w:color="auto"/>
            <w:right w:val="none" w:sz="0" w:space="0" w:color="auto"/>
          </w:divBdr>
          <w:divsChild>
            <w:div w:id="1097100699">
              <w:marLeft w:val="0"/>
              <w:marRight w:val="0"/>
              <w:marTop w:val="0"/>
              <w:marBottom w:val="0"/>
              <w:divBdr>
                <w:top w:val="none" w:sz="0" w:space="0" w:color="auto"/>
                <w:left w:val="none" w:sz="0" w:space="0" w:color="auto"/>
                <w:bottom w:val="none" w:sz="0" w:space="0" w:color="auto"/>
                <w:right w:val="none" w:sz="0" w:space="0" w:color="auto"/>
              </w:divBdr>
              <w:divsChild>
                <w:div w:id="1190991552">
                  <w:marLeft w:val="0"/>
                  <w:marRight w:val="0"/>
                  <w:marTop w:val="0"/>
                  <w:marBottom w:val="0"/>
                  <w:divBdr>
                    <w:top w:val="none" w:sz="0" w:space="0" w:color="auto"/>
                    <w:left w:val="none" w:sz="0" w:space="0" w:color="auto"/>
                    <w:bottom w:val="none" w:sz="0" w:space="0" w:color="auto"/>
                    <w:right w:val="none" w:sz="0" w:space="0" w:color="auto"/>
                  </w:divBdr>
                  <w:divsChild>
                    <w:div w:id="19755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44951">
      <w:bodyDiv w:val="1"/>
      <w:marLeft w:val="0"/>
      <w:marRight w:val="0"/>
      <w:marTop w:val="0"/>
      <w:marBottom w:val="0"/>
      <w:divBdr>
        <w:top w:val="none" w:sz="0" w:space="0" w:color="auto"/>
        <w:left w:val="none" w:sz="0" w:space="0" w:color="auto"/>
        <w:bottom w:val="none" w:sz="0" w:space="0" w:color="auto"/>
        <w:right w:val="none" w:sz="0" w:space="0" w:color="auto"/>
      </w:divBdr>
      <w:divsChild>
        <w:div w:id="657030486">
          <w:marLeft w:val="0"/>
          <w:marRight w:val="0"/>
          <w:marTop w:val="0"/>
          <w:marBottom w:val="0"/>
          <w:divBdr>
            <w:top w:val="none" w:sz="0" w:space="0" w:color="auto"/>
            <w:left w:val="none" w:sz="0" w:space="0" w:color="auto"/>
            <w:bottom w:val="none" w:sz="0" w:space="0" w:color="auto"/>
            <w:right w:val="none" w:sz="0" w:space="0" w:color="auto"/>
          </w:divBdr>
          <w:divsChild>
            <w:div w:id="128206687">
              <w:marLeft w:val="0"/>
              <w:marRight w:val="0"/>
              <w:marTop w:val="0"/>
              <w:marBottom w:val="0"/>
              <w:divBdr>
                <w:top w:val="none" w:sz="0" w:space="0" w:color="auto"/>
                <w:left w:val="none" w:sz="0" w:space="0" w:color="auto"/>
                <w:bottom w:val="none" w:sz="0" w:space="0" w:color="auto"/>
                <w:right w:val="none" w:sz="0" w:space="0" w:color="auto"/>
              </w:divBdr>
              <w:divsChild>
                <w:div w:id="1851413610">
                  <w:marLeft w:val="0"/>
                  <w:marRight w:val="0"/>
                  <w:marTop w:val="0"/>
                  <w:marBottom w:val="0"/>
                  <w:divBdr>
                    <w:top w:val="none" w:sz="0" w:space="0" w:color="auto"/>
                    <w:left w:val="none" w:sz="0" w:space="0" w:color="auto"/>
                    <w:bottom w:val="none" w:sz="0" w:space="0" w:color="auto"/>
                    <w:right w:val="none" w:sz="0" w:space="0" w:color="auto"/>
                  </w:divBdr>
                  <w:divsChild>
                    <w:div w:id="913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4044">
      <w:bodyDiv w:val="1"/>
      <w:marLeft w:val="0"/>
      <w:marRight w:val="0"/>
      <w:marTop w:val="0"/>
      <w:marBottom w:val="0"/>
      <w:divBdr>
        <w:top w:val="none" w:sz="0" w:space="0" w:color="auto"/>
        <w:left w:val="none" w:sz="0" w:space="0" w:color="auto"/>
        <w:bottom w:val="none" w:sz="0" w:space="0" w:color="auto"/>
        <w:right w:val="none" w:sz="0" w:space="0" w:color="auto"/>
      </w:divBdr>
      <w:divsChild>
        <w:div w:id="1146505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icaltrials@uth.tm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urfman\Local%20Settings\Temporary%20Internet%20Files\Content.IE5\IEW1QVKF\ITPolicyTemplate%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16266-4D6F-4DE8-96E2-826D767C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ITPolicyTemplate[1].dot</Template>
  <TotalTime>50</TotalTime>
  <Pages>4</Pages>
  <Words>1221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Sponsor:  </vt:lpstr>
    </vt:vector>
  </TitlesOfParts>
  <Company>UTHSC</Company>
  <LinksUpToDate>false</LinksUpToDate>
  <CharactersWithSpaces>7941</CharactersWithSpaces>
  <SharedDoc>false</SharedDoc>
  <HLinks>
    <vt:vector size="84" baseType="variant">
      <vt:variant>
        <vt:i4>1572918</vt:i4>
      </vt:variant>
      <vt:variant>
        <vt:i4>77</vt:i4>
      </vt:variant>
      <vt:variant>
        <vt:i4>0</vt:i4>
      </vt:variant>
      <vt:variant>
        <vt:i4>5</vt:i4>
      </vt:variant>
      <vt:variant>
        <vt:lpwstr/>
      </vt:variant>
      <vt:variant>
        <vt:lpwstr>_Toc223850253</vt:lpwstr>
      </vt:variant>
      <vt:variant>
        <vt:i4>1572918</vt:i4>
      </vt:variant>
      <vt:variant>
        <vt:i4>71</vt:i4>
      </vt:variant>
      <vt:variant>
        <vt:i4>0</vt:i4>
      </vt:variant>
      <vt:variant>
        <vt:i4>5</vt:i4>
      </vt:variant>
      <vt:variant>
        <vt:lpwstr/>
      </vt:variant>
      <vt:variant>
        <vt:lpwstr>_Toc223850252</vt:lpwstr>
      </vt:variant>
      <vt:variant>
        <vt:i4>1572918</vt:i4>
      </vt:variant>
      <vt:variant>
        <vt:i4>65</vt:i4>
      </vt:variant>
      <vt:variant>
        <vt:i4>0</vt:i4>
      </vt:variant>
      <vt:variant>
        <vt:i4>5</vt:i4>
      </vt:variant>
      <vt:variant>
        <vt:lpwstr/>
      </vt:variant>
      <vt:variant>
        <vt:lpwstr>_Toc223850251</vt:lpwstr>
      </vt:variant>
      <vt:variant>
        <vt:i4>1638454</vt:i4>
      </vt:variant>
      <vt:variant>
        <vt:i4>59</vt:i4>
      </vt:variant>
      <vt:variant>
        <vt:i4>0</vt:i4>
      </vt:variant>
      <vt:variant>
        <vt:i4>5</vt:i4>
      </vt:variant>
      <vt:variant>
        <vt:lpwstr/>
      </vt:variant>
      <vt:variant>
        <vt:lpwstr>_Toc223850249</vt:lpwstr>
      </vt:variant>
      <vt:variant>
        <vt:i4>1638454</vt:i4>
      </vt:variant>
      <vt:variant>
        <vt:i4>53</vt:i4>
      </vt:variant>
      <vt:variant>
        <vt:i4>0</vt:i4>
      </vt:variant>
      <vt:variant>
        <vt:i4>5</vt:i4>
      </vt:variant>
      <vt:variant>
        <vt:lpwstr/>
      </vt:variant>
      <vt:variant>
        <vt:lpwstr>_Toc223850247</vt:lpwstr>
      </vt:variant>
      <vt:variant>
        <vt:i4>1638454</vt:i4>
      </vt:variant>
      <vt:variant>
        <vt:i4>47</vt:i4>
      </vt:variant>
      <vt:variant>
        <vt:i4>0</vt:i4>
      </vt:variant>
      <vt:variant>
        <vt:i4>5</vt:i4>
      </vt:variant>
      <vt:variant>
        <vt:lpwstr/>
      </vt:variant>
      <vt:variant>
        <vt:lpwstr>_Toc223850245</vt:lpwstr>
      </vt:variant>
      <vt:variant>
        <vt:i4>1638454</vt:i4>
      </vt:variant>
      <vt:variant>
        <vt:i4>41</vt:i4>
      </vt:variant>
      <vt:variant>
        <vt:i4>0</vt:i4>
      </vt:variant>
      <vt:variant>
        <vt:i4>5</vt:i4>
      </vt:variant>
      <vt:variant>
        <vt:lpwstr/>
      </vt:variant>
      <vt:variant>
        <vt:lpwstr>_Toc223850243</vt:lpwstr>
      </vt:variant>
      <vt:variant>
        <vt:i4>1638454</vt:i4>
      </vt:variant>
      <vt:variant>
        <vt:i4>35</vt:i4>
      </vt:variant>
      <vt:variant>
        <vt:i4>0</vt:i4>
      </vt:variant>
      <vt:variant>
        <vt:i4>5</vt:i4>
      </vt:variant>
      <vt:variant>
        <vt:lpwstr/>
      </vt:variant>
      <vt:variant>
        <vt:lpwstr>_Toc223850241</vt:lpwstr>
      </vt:variant>
      <vt:variant>
        <vt:i4>1966134</vt:i4>
      </vt:variant>
      <vt:variant>
        <vt:i4>29</vt:i4>
      </vt:variant>
      <vt:variant>
        <vt:i4>0</vt:i4>
      </vt:variant>
      <vt:variant>
        <vt:i4>5</vt:i4>
      </vt:variant>
      <vt:variant>
        <vt:lpwstr/>
      </vt:variant>
      <vt:variant>
        <vt:lpwstr>_Toc223850239</vt:lpwstr>
      </vt:variant>
      <vt:variant>
        <vt:i4>1966134</vt:i4>
      </vt:variant>
      <vt:variant>
        <vt:i4>23</vt:i4>
      </vt:variant>
      <vt:variant>
        <vt:i4>0</vt:i4>
      </vt:variant>
      <vt:variant>
        <vt:i4>5</vt:i4>
      </vt:variant>
      <vt:variant>
        <vt:lpwstr/>
      </vt:variant>
      <vt:variant>
        <vt:lpwstr>_Toc223850236</vt:lpwstr>
      </vt:variant>
      <vt:variant>
        <vt:i4>1966134</vt:i4>
      </vt:variant>
      <vt:variant>
        <vt:i4>17</vt:i4>
      </vt:variant>
      <vt:variant>
        <vt:i4>0</vt:i4>
      </vt:variant>
      <vt:variant>
        <vt:i4>5</vt:i4>
      </vt:variant>
      <vt:variant>
        <vt:lpwstr/>
      </vt:variant>
      <vt:variant>
        <vt:lpwstr>_Toc223850235</vt:lpwstr>
      </vt:variant>
      <vt:variant>
        <vt:i4>1966134</vt:i4>
      </vt:variant>
      <vt:variant>
        <vt:i4>11</vt:i4>
      </vt:variant>
      <vt:variant>
        <vt:i4>0</vt:i4>
      </vt:variant>
      <vt:variant>
        <vt:i4>5</vt:i4>
      </vt:variant>
      <vt:variant>
        <vt:lpwstr/>
      </vt:variant>
      <vt:variant>
        <vt:lpwstr>_Toc223850234</vt:lpwstr>
      </vt:variant>
      <vt:variant>
        <vt:i4>1966134</vt:i4>
      </vt:variant>
      <vt:variant>
        <vt:i4>5</vt:i4>
      </vt:variant>
      <vt:variant>
        <vt:i4>0</vt:i4>
      </vt:variant>
      <vt:variant>
        <vt:i4>5</vt:i4>
      </vt:variant>
      <vt:variant>
        <vt:lpwstr/>
      </vt:variant>
      <vt:variant>
        <vt:lpwstr>_Toc223850233</vt:lpwstr>
      </vt:variant>
      <vt:variant>
        <vt:i4>5636140</vt:i4>
      </vt:variant>
      <vt:variant>
        <vt:i4>0</vt:i4>
      </vt:variant>
      <vt:variant>
        <vt:i4>0</vt:i4>
      </vt:variant>
      <vt:variant>
        <vt:i4>5</vt:i4>
      </vt:variant>
      <vt:variant>
        <vt:lpwstr>mailto:itcompliance@uth.tmc.edu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dc:title>
  <dc:subject/>
  <dc:creator>pcurfman</dc:creator>
  <cp:keywords/>
  <dc:description/>
  <cp:lastModifiedBy>ssridhar2</cp:lastModifiedBy>
  <cp:revision>9</cp:revision>
  <cp:lastPrinted>2009-03-06T14:42:00Z</cp:lastPrinted>
  <dcterms:created xsi:type="dcterms:W3CDTF">2010-08-24T15:57:00Z</dcterms:created>
  <dcterms:modified xsi:type="dcterms:W3CDTF">2011-05-19T21:36:00Z</dcterms:modified>
</cp:coreProperties>
</file>